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bCs/>
          <w:color w:val="000000"/>
          <w:sz w:val="48"/>
          <w:szCs w:val="48"/>
        </w:rPr>
      </w:pPr>
      <w:r>
        <w:rPr>
          <w:rFonts w:hint="eastAsia" w:asciiTheme="minorEastAsia" w:hAnsiTheme="minorEastAsia" w:eastAsiaTheme="minorEastAsia" w:cstheme="minorEastAsia"/>
          <w:b/>
          <w:bCs/>
          <w:color w:val="000000"/>
          <w:sz w:val="48"/>
          <w:szCs w:val="48"/>
          <w:lang w:eastAsia="zh-CN"/>
        </w:rPr>
        <w:t>三门县海威电气有限公司年产</w:t>
      </w:r>
      <w:r>
        <w:rPr>
          <w:rFonts w:hint="eastAsia" w:asciiTheme="minorEastAsia" w:hAnsiTheme="minorEastAsia" w:eastAsiaTheme="minorEastAsia" w:cstheme="minorEastAsia"/>
          <w:b/>
          <w:bCs/>
          <w:color w:val="000000"/>
          <w:sz w:val="48"/>
          <w:szCs w:val="48"/>
          <w:lang w:val="en-US" w:eastAsia="zh-CN"/>
        </w:rPr>
        <w:t>5000套高压负荷开关</w:t>
      </w:r>
      <w:r>
        <w:rPr>
          <w:rFonts w:hint="eastAsia" w:asciiTheme="minorEastAsia" w:hAnsiTheme="minorEastAsia" w:eastAsiaTheme="minorEastAsia" w:cstheme="minorEastAsia"/>
          <w:b/>
          <w:bCs/>
          <w:color w:val="000000"/>
          <w:sz w:val="48"/>
          <w:szCs w:val="48"/>
        </w:rPr>
        <w:t>项目竣工环境保护</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bCs/>
          <w:color w:val="000000"/>
          <w:sz w:val="48"/>
          <w:szCs w:val="48"/>
          <w:lang w:eastAsia="zh-CN"/>
        </w:rPr>
      </w:pPr>
      <w:r>
        <w:rPr>
          <w:rFonts w:hint="eastAsia" w:asciiTheme="minorEastAsia" w:hAnsiTheme="minorEastAsia" w:eastAsiaTheme="minorEastAsia" w:cstheme="minorEastAsia"/>
          <w:b/>
          <w:bCs/>
          <w:color w:val="000000"/>
          <w:sz w:val="48"/>
          <w:szCs w:val="48"/>
        </w:rPr>
        <w:t>验收监测报告表</w:t>
      </w:r>
      <w:r>
        <w:rPr>
          <w:rFonts w:hint="eastAsia" w:asciiTheme="minorEastAsia" w:hAnsiTheme="minorEastAsia" w:eastAsiaTheme="minorEastAsia" w:cstheme="minorEastAsia"/>
          <w:b/>
          <w:bCs/>
          <w:color w:val="000000"/>
          <w:sz w:val="48"/>
          <w:szCs w:val="48"/>
          <w:lang w:eastAsia="zh-CN"/>
        </w:rPr>
        <w:t>（噪声、固废专篇）</w:t>
      </w:r>
    </w:p>
    <w:p>
      <w:pPr>
        <w:spacing w:line="360" w:lineRule="auto"/>
        <w:jc w:val="center"/>
        <w:rPr>
          <w:rFonts w:hint="eastAsia" w:asciiTheme="minorEastAsia" w:hAnsiTheme="minorEastAsia" w:eastAsiaTheme="minorEastAsia" w:cstheme="minorEastAsia"/>
          <w:b w:val="0"/>
          <w:bCs w:val="0"/>
          <w:color w:val="auto"/>
          <w:sz w:val="28"/>
          <w:shd w:val="clear" w:color="auto" w:fill="auto"/>
          <w:lang w:val="en-US" w:eastAsia="zh-CN"/>
        </w:rPr>
      </w:pPr>
      <w:r>
        <w:rPr>
          <w:rFonts w:hint="eastAsia" w:asciiTheme="minorEastAsia" w:hAnsiTheme="minorEastAsia" w:eastAsiaTheme="minorEastAsia" w:cstheme="minorEastAsia"/>
          <w:b w:val="0"/>
          <w:bCs w:val="0"/>
          <w:color w:val="auto"/>
          <w:sz w:val="28"/>
          <w:shd w:val="clear" w:color="auto" w:fill="auto"/>
          <w:lang w:eastAsia="zh-CN"/>
        </w:rPr>
        <w:t>三飞检测</w:t>
      </w:r>
      <w:r>
        <w:rPr>
          <w:rFonts w:hint="eastAsia" w:asciiTheme="minorEastAsia" w:hAnsiTheme="minorEastAsia" w:eastAsiaTheme="minorEastAsia" w:cstheme="minorEastAsia"/>
          <w:b w:val="0"/>
          <w:bCs w:val="0"/>
          <w:color w:val="auto"/>
          <w:sz w:val="28"/>
          <w:shd w:val="clear" w:color="auto" w:fill="auto"/>
        </w:rPr>
        <w:t>（</w:t>
      </w:r>
      <w:r>
        <w:rPr>
          <w:rFonts w:hint="eastAsia" w:asciiTheme="minorEastAsia" w:hAnsiTheme="minorEastAsia" w:eastAsiaTheme="minorEastAsia" w:cstheme="minorEastAsia"/>
          <w:b w:val="0"/>
          <w:bCs w:val="0"/>
          <w:color w:val="auto"/>
          <w:sz w:val="28"/>
          <w:shd w:val="clear" w:color="auto" w:fill="auto"/>
          <w:lang w:val="en-US" w:eastAsia="zh-CN"/>
        </w:rPr>
        <w:t>JY2018004)号</w:t>
      </w: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rPr>
          <w:rFonts w:hint="eastAsia" w:ascii="华文新魏" w:eastAsia="华文新魏"/>
          <w:color w:val="000000"/>
          <w:sz w:val="28"/>
          <w:szCs w:val="28"/>
        </w:rPr>
      </w:pPr>
      <w:r>
        <w:rPr>
          <w:rFonts w:ascii="仿宋_GB2312" w:eastAsia="仿宋_GB2312"/>
          <w:color w:val="000000"/>
          <w:sz w:val="28"/>
        </w:rPr>
        <w:tab/>
      </w:r>
    </w:p>
    <w:p>
      <w:pP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建设单位</w:t>
      </w:r>
      <w:r>
        <w:rPr>
          <w:rFonts w:hint="eastAsia" w:asciiTheme="minorEastAsia" w:hAnsiTheme="minorEastAsia" w:eastAsiaTheme="minorEastAsia" w:cstheme="minorEastAsia"/>
          <w:color w:val="000000"/>
          <w:sz w:val="30"/>
          <w:szCs w:val="30"/>
          <w:lang w:eastAsia="zh-CN"/>
        </w:rPr>
        <w:t>：三门海威电气有限公司</w:t>
      </w:r>
      <w:r>
        <w:rPr>
          <w:rFonts w:hint="eastAsia" w:asciiTheme="minorEastAsia" w:hAnsiTheme="minorEastAsia" w:eastAsiaTheme="minorEastAsia" w:cstheme="minorEastAsia"/>
          <w:color w:val="000000"/>
          <w:sz w:val="30"/>
          <w:szCs w:val="30"/>
        </w:rPr>
        <w:tab/>
      </w:r>
    </w:p>
    <w:p>
      <w:pPr>
        <w:rPr>
          <w:rFonts w:hint="eastAsia" w:asciiTheme="minorEastAsia" w:hAnsiTheme="minorEastAsia" w:eastAsiaTheme="minorEastAsia" w:cstheme="minorEastAsia"/>
          <w:color w:val="000000"/>
          <w:sz w:val="30"/>
          <w:szCs w:val="30"/>
          <w:lang w:eastAsia="zh-CN"/>
        </w:rPr>
      </w:pPr>
      <w:r>
        <w:rPr>
          <w:rFonts w:hint="eastAsia" w:asciiTheme="minorEastAsia" w:hAnsiTheme="minorEastAsia" w:eastAsiaTheme="minorEastAsia" w:cstheme="minorEastAsia"/>
          <w:color w:val="000000"/>
          <w:sz w:val="30"/>
          <w:szCs w:val="30"/>
        </w:rPr>
        <w:t>编制单位</w:t>
      </w:r>
      <w:r>
        <w:rPr>
          <w:rFonts w:hint="eastAsia" w:asciiTheme="minorEastAsia" w:hAnsiTheme="minorEastAsia" w:eastAsiaTheme="minorEastAsia" w:cstheme="minorEastAsia"/>
          <w:color w:val="000000"/>
          <w:sz w:val="30"/>
          <w:szCs w:val="30"/>
          <w:lang w:eastAsia="zh-CN"/>
        </w:rPr>
        <w:t>：台州三飞检测科技有限公司</w:t>
      </w:r>
    </w:p>
    <w:p>
      <w:pPr>
        <w:rPr>
          <w:rFonts w:hint="eastAsia" w:ascii="仿宋_GB2312" w:eastAsia="仿宋_GB2312"/>
          <w:color w:val="000000"/>
          <w:sz w:val="28"/>
        </w:rPr>
      </w:pPr>
    </w:p>
    <w:p>
      <w:pPr>
        <w:rPr>
          <w:rFonts w:hint="eastAsia" w:ascii="仿宋_GB2312" w:eastAsia="仿宋_GB2312"/>
          <w:color w:val="000000"/>
          <w:sz w:val="28"/>
        </w:rPr>
      </w:pPr>
    </w:p>
    <w:p>
      <w:pPr>
        <w:rPr>
          <w:rFonts w:hint="eastAsia" w:ascii="华文新魏" w:eastAsia="华文新魏"/>
          <w:color w:val="000000"/>
          <w:sz w:val="28"/>
          <w:szCs w:val="28"/>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b/>
          <w:color w:val="000000"/>
          <w:sz w:val="30"/>
          <w:szCs w:val="30"/>
          <w:lang w:val="en-US" w:eastAsia="zh-CN"/>
        </w:rPr>
        <w:t>二零一八</w:t>
      </w:r>
      <w:r>
        <w:rPr>
          <w:rFonts w:hint="eastAsia" w:asciiTheme="minorEastAsia" w:hAnsiTheme="minorEastAsia" w:eastAsiaTheme="minorEastAsia" w:cstheme="minorEastAsia"/>
          <w:color w:val="000000"/>
          <w:sz w:val="30"/>
          <w:szCs w:val="30"/>
        </w:rPr>
        <w:t>年</w:t>
      </w:r>
      <w:r>
        <w:rPr>
          <w:rFonts w:hint="eastAsia" w:asciiTheme="minorEastAsia" w:hAnsiTheme="minorEastAsia" w:eastAsiaTheme="minorEastAsia" w:cstheme="minorEastAsia"/>
          <w:b/>
          <w:color w:val="000000"/>
          <w:sz w:val="30"/>
          <w:szCs w:val="30"/>
          <w:lang w:val="en-US" w:eastAsia="zh-CN"/>
        </w:rPr>
        <w:t>九</w:t>
      </w:r>
      <w:r>
        <w:rPr>
          <w:rFonts w:hint="eastAsia" w:asciiTheme="minorEastAsia" w:hAnsiTheme="minorEastAsia" w:eastAsiaTheme="minorEastAsia" w:cstheme="minorEastAsia"/>
          <w:color w:val="000000"/>
          <w:sz w:val="30"/>
          <w:szCs w:val="30"/>
        </w:rPr>
        <w:t>月</w:t>
      </w:r>
    </w:p>
    <w:p>
      <w:pPr>
        <w:rPr>
          <w:rFonts w:hint="eastAsia" w:ascii="华文新魏" w:eastAsia="华文新魏"/>
          <w:color w:val="000000"/>
          <w:sz w:val="28"/>
          <w:szCs w:val="28"/>
        </w:rPr>
      </w:pPr>
    </w:p>
    <w:p>
      <w:pPr>
        <w:rPr>
          <w:rFonts w:ascii="仿宋_GB2312" w:eastAsia="仿宋_GB2312"/>
          <w:color w:val="000000"/>
          <w:sz w:val="32"/>
        </w:rPr>
        <w:sectPr>
          <w:headerReference r:id="rId3" w:type="default"/>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ascii="仿宋_GB2312" w:eastAsia="仿宋_GB2312"/>
          <w:color w:val="000000"/>
          <w:sz w:val="32"/>
        </w:rPr>
        <w:br w:type="page"/>
      </w:r>
    </w:p>
    <w:p>
      <w:pPr>
        <w:rPr>
          <w:rFonts w:hint="eastAsia" w:ascii="仿宋_GB2312" w:eastAsia="仿宋_GB2312"/>
          <w:b/>
          <w:color w:val="000000"/>
          <w:sz w:val="28"/>
          <w:lang w:eastAsia="zh-CN"/>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eastAsia" w:ascii="仿宋_GB2312" w:eastAsia="仿宋_GB2312"/>
          <w:b/>
          <w:color w:val="000000"/>
          <w:sz w:val="28"/>
          <w:lang w:eastAsia="zh-CN"/>
        </w:rPr>
        <w:drawing>
          <wp:inline distT="0" distB="0" distL="114300" distR="114300">
            <wp:extent cx="5273675" cy="7426960"/>
            <wp:effectExtent l="0" t="0" r="3175" b="2540"/>
            <wp:docPr id="15" name="图片 15"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营业执照"/>
                    <pic:cNvPicPr>
                      <a:picLocks noChangeAspect="1"/>
                    </pic:cNvPicPr>
                  </pic:nvPicPr>
                  <pic:blipFill>
                    <a:blip r:embed="rId11"/>
                    <a:stretch>
                      <a:fillRect/>
                    </a:stretch>
                  </pic:blipFill>
                  <pic:spPr>
                    <a:xfrm>
                      <a:off x="0" y="0"/>
                      <a:ext cx="5273675" cy="7426960"/>
                    </a:xfrm>
                    <a:prstGeom prst="rect">
                      <a:avLst/>
                    </a:prstGeom>
                  </pic:spPr>
                </pic:pic>
              </a:graphicData>
            </a:graphic>
          </wp:inline>
        </w:drawing>
      </w:r>
    </w:p>
    <w:p>
      <w:pPr>
        <w:rPr>
          <w:rFonts w:hint="eastAsia" w:ascii="仿宋_GB2312" w:eastAsia="仿宋_GB2312"/>
          <w:b/>
          <w:color w:val="000000"/>
          <w:sz w:val="28"/>
          <w:lang w:eastAsia="zh-CN"/>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eastAsia" w:ascii="仿宋_GB2312" w:eastAsia="仿宋_GB2312"/>
          <w:b/>
          <w:color w:val="000000"/>
          <w:sz w:val="28"/>
          <w:lang w:eastAsia="zh-CN"/>
        </w:rPr>
        <w:drawing>
          <wp:inline distT="0" distB="0" distL="114300" distR="114300">
            <wp:extent cx="5273675" cy="7463155"/>
            <wp:effectExtent l="0" t="0" r="3175" b="4445"/>
            <wp:docPr id="32" name="图片 32" descr="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质证书"/>
                    <pic:cNvPicPr>
                      <a:picLocks noChangeAspect="1"/>
                    </pic:cNvPicPr>
                  </pic:nvPicPr>
                  <pic:blipFill>
                    <a:blip r:embed="rId12"/>
                    <a:stretch>
                      <a:fillRect/>
                    </a:stretch>
                  </pic:blipFill>
                  <pic:spPr>
                    <a:xfrm>
                      <a:off x="0" y="0"/>
                      <a:ext cx="5273675" cy="7463155"/>
                    </a:xfrm>
                    <a:prstGeom prst="rect">
                      <a:avLst/>
                    </a:prstGeom>
                  </pic:spPr>
                </pic:pic>
              </a:graphicData>
            </a:graphic>
          </wp:inline>
        </w:drawing>
      </w:r>
    </w:p>
    <w:p>
      <w:pPr>
        <w:rPr>
          <w:rFonts w:ascii="仿宋_GB2312" w:eastAsia="仿宋_GB2312"/>
          <w:color w:val="000000"/>
          <w:sz w:val="32"/>
        </w:rPr>
      </w:pPr>
      <w:r>
        <w:rPr>
          <w:rFonts w:ascii="仿宋_GB2312" w:eastAsia="仿宋_GB2312"/>
          <w:b/>
          <w:color w:val="000000"/>
          <w:sz w:val="28"/>
        </w:rPr>
        <w:tab/>
      </w:r>
    </w:p>
    <w:p>
      <w:pPr>
        <w:spacing w:line="360" w:lineRule="auto"/>
        <w:rPr>
          <w:rFonts w:ascii="仿宋_GB2312" w:eastAsia="仿宋_GB2312"/>
          <w:color w:val="000000"/>
          <w:sz w:val="28"/>
        </w:rPr>
      </w:pPr>
      <w:r>
        <w:rPr>
          <w:rFonts w:hint="eastAsia" w:ascii="仿宋_GB2312" w:eastAsia="仿宋_GB2312"/>
          <w:b/>
          <w:color w:val="000000"/>
          <w:sz w:val="28"/>
        </w:rPr>
        <w:t>建设单位法人代表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b/>
          <w:color w:val="000000"/>
          <w:spacing w:val="7"/>
          <w:w w:val="79"/>
          <w:sz w:val="28"/>
        </w:rPr>
      </w:pPr>
      <w:r>
        <w:rPr>
          <w:rFonts w:hint="eastAsia" w:ascii="仿宋_GB2312" w:eastAsia="仿宋_GB2312"/>
          <w:b/>
          <w:color w:val="000000"/>
          <w:spacing w:val="20"/>
          <w:w w:val="79"/>
          <w:sz w:val="28"/>
        </w:rPr>
        <w:t>项  目  负 责  人</w:t>
      </w:r>
      <w:r>
        <w:rPr>
          <w:rFonts w:ascii="仿宋_GB2312" w:eastAsia="仿宋_GB2312"/>
          <w:b/>
          <w:color w:val="000000"/>
          <w:spacing w:val="10"/>
          <w:w w:val="79"/>
          <w:sz w:val="28"/>
        </w:rPr>
        <w:t>:</w:t>
      </w:r>
    </w:p>
    <w:p>
      <w:pPr>
        <w:spacing w:line="360" w:lineRule="auto"/>
        <w:rPr>
          <w:rFonts w:hint="eastAsia" w:ascii="仿宋_GB2312" w:eastAsia="仿宋_GB2312"/>
          <w:b/>
          <w:color w:val="000000"/>
          <w:spacing w:val="7"/>
          <w:w w:val="79"/>
          <w:sz w:val="28"/>
        </w:rPr>
      </w:pPr>
      <w:r>
        <w:rPr>
          <w:rFonts w:hint="eastAsia" w:ascii="仿宋_GB2312" w:eastAsia="仿宋_GB2312"/>
          <w:b/>
          <w:color w:val="000000"/>
          <w:spacing w:val="141"/>
          <w:w w:val="79"/>
          <w:sz w:val="28"/>
        </w:rPr>
        <w:t>填  表  人</w:t>
      </w:r>
      <w:r>
        <w:rPr>
          <w:rFonts w:hint="eastAsia" w:ascii="仿宋_GB2312" w:eastAsia="仿宋_GB2312"/>
          <w:b/>
          <w:color w:val="000000"/>
          <w:spacing w:val="2"/>
          <w:w w:val="79"/>
          <w:sz w:val="28"/>
        </w:rPr>
        <w:t>：</w:t>
      </w:r>
    </w:p>
    <w:p>
      <w:pPr>
        <w:spacing w:line="360" w:lineRule="auto"/>
        <w:rPr>
          <w:rFonts w:hint="eastAsia" w:ascii="仿宋_GB2312" w:eastAsia="仿宋_GB2312"/>
          <w:color w:val="000000"/>
          <w:sz w:val="28"/>
        </w:rPr>
      </w:pPr>
      <w:r>
        <w:rPr>
          <w:rFonts w:ascii="仿宋_GB2312" w:eastAsia="仿宋_GB2312"/>
          <w:color w:val="000000"/>
          <w:sz w:val="28"/>
        </w:rPr>
        <w:tab/>
      </w:r>
    </w:p>
    <w:p>
      <w:pPr>
        <w:spacing w:line="360" w:lineRule="auto"/>
        <w:rPr>
          <w:rFonts w:hint="eastAsia" w:ascii="仿宋_GB2312" w:eastAsia="仿宋_GB2312"/>
          <w:color w:val="000000"/>
          <w:sz w:val="28"/>
        </w:rPr>
      </w:pPr>
    </w:p>
    <w:p>
      <w:pPr>
        <w:tabs>
          <w:tab w:val="left" w:pos="984"/>
        </w:tabs>
        <w:spacing w:line="360" w:lineRule="auto"/>
        <w:rPr>
          <w:rFonts w:hint="eastAsia" w:ascii="仿宋_GB2312" w:eastAsia="仿宋_GB2312"/>
          <w:color w:val="000000"/>
          <w:sz w:val="28"/>
        </w:rPr>
      </w:pPr>
    </w:p>
    <w:p>
      <w:pPr>
        <w:tabs>
          <w:tab w:val="left" w:pos="984"/>
        </w:tabs>
        <w:spacing w:line="360" w:lineRule="auto"/>
        <w:rPr>
          <w:rFonts w:ascii="仿宋_GB2312" w:eastAsia="仿宋_GB2312"/>
          <w:color w:val="000000"/>
          <w:sz w:val="28"/>
        </w:rPr>
      </w:pPr>
      <w:r>
        <w:rPr>
          <w:rFonts w:hint="eastAsia" w:ascii="仿宋_GB2312" w:eastAsia="仿宋_GB2312"/>
          <w:color w:val="000000"/>
          <w:sz w:val="28"/>
        </w:rPr>
        <w:t>建设单位</w:t>
      </w:r>
      <w:r>
        <w:rPr>
          <w:rFonts w:hint="eastAsia" w:ascii="仿宋_GB2312" w:eastAsia="仿宋_GB2312"/>
          <w:color w:val="000000"/>
          <w:sz w:val="28"/>
          <w:lang w:eastAsia="zh-CN"/>
        </w:rPr>
        <w:t>：三门县海威电气有限公司</w:t>
      </w:r>
      <w:r>
        <w:rPr>
          <w:rFonts w:hint="eastAsia"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13968460258</w:t>
      </w:r>
      <w:r>
        <w:rPr>
          <w:rFonts w:ascii="仿宋_GB2312" w:eastAsia="仿宋_GB2312"/>
          <w:color w:val="000000"/>
          <w:sz w:val="28"/>
        </w:rPr>
        <w:t xml:space="preserve"> </w:t>
      </w:r>
      <w:r>
        <w:rPr>
          <w:rFonts w:hint="eastAsia" w:ascii="仿宋_GB2312" w:eastAsia="仿宋_GB2312"/>
          <w:color w:val="000000"/>
          <w:sz w:val="28"/>
        </w:rPr>
        <w:t xml:space="preserve">                        </w:t>
      </w:r>
      <w:r>
        <w:rPr>
          <w:rFonts w:ascii="仿宋_GB2312" w:eastAsia="仿宋_GB2312"/>
          <w:color w:val="000000"/>
          <w:sz w:val="28"/>
        </w:rPr>
        <w:t xml:space="preserve"> </w:t>
      </w:r>
    </w:p>
    <w:p>
      <w:pPr>
        <w:spacing w:line="360" w:lineRule="auto"/>
        <w:rPr>
          <w:rFonts w:hint="eastAsia" w:ascii="仿宋_GB2312" w:eastAsia="仿宋_GB2312"/>
          <w:color w:val="000000"/>
          <w:sz w:val="28"/>
        </w:rPr>
      </w:pPr>
      <w:r>
        <w:rPr>
          <w:rFonts w:hint="eastAsia" w:ascii="仿宋_GB2312" w:eastAsia="仿宋_GB2312"/>
          <w:color w:val="000000"/>
          <w:sz w:val="28"/>
        </w:rPr>
        <w:t>传真</w:t>
      </w:r>
      <w:r>
        <w:rPr>
          <w:rFonts w:ascii="仿宋_GB2312" w:eastAsia="仿宋_GB2312"/>
          <w:color w:val="000000"/>
          <w:sz w:val="28"/>
        </w:rPr>
        <w:t>:</w:t>
      </w:r>
      <w:r>
        <w:rPr>
          <w:rFonts w:hint="eastAsia" w:ascii="仿宋_GB2312" w:eastAsia="仿宋_GB2312"/>
          <w:color w:val="000000"/>
          <w:sz w:val="28"/>
        </w:rPr>
        <w:t xml:space="preserve">                                             </w:t>
      </w:r>
    </w:p>
    <w:p>
      <w:pPr>
        <w:spacing w:line="360" w:lineRule="auto"/>
        <w:rPr>
          <w:rFonts w:hint="eastAsia" w:ascii="仿宋_GB2312" w:eastAsia="仿宋_GB2312"/>
          <w:color w:val="000000"/>
          <w:sz w:val="28"/>
          <w:lang w:val="en-US" w:eastAsia="zh-CN"/>
        </w:rPr>
      </w:pPr>
      <w:r>
        <w:rPr>
          <w:rFonts w:hint="eastAsia" w:ascii="仿宋_GB2312" w:eastAsia="仿宋_GB2312"/>
          <w:color w:val="000000"/>
          <w:sz w:val="28"/>
        </w:rPr>
        <w:t>邮编</w:t>
      </w:r>
      <w:r>
        <w:rPr>
          <w:rFonts w:ascii="仿宋_GB2312" w:eastAsia="仿宋_GB2312"/>
          <w:color w:val="000000"/>
          <w:sz w:val="28"/>
        </w:rPr>
        <w:t xml:space="preserve">: </w:t>
      </w:r>
      <w:r>
        <w:rPr>
          <w:rFonts w:hint="eastAsia" w:ascii="仿宋_GB2312" w:eastAsia="仿宋_GB2312"/>
          <w:color w:val="000000"/>
          <w:sz w:val="28"/>
          <w:lang w:val="en-US" w:eastAsia="zh-CN"/>
        </w:rPr>
        <w:t>317100</w:t>
      </w:r>
    </w:p>
    <w:p>
      <w:pPr>
        <w:spacing w:line="360" w:lineRule="auto"/>
        <w:rPr>
          <w:rFonts w:hint="eastAsia" w:ascii="仿宋_GB2312" w:eastAsia="仿宋_GB2312"/>
          <w:color w:val="000000"/>
          <w:sz w:val="28"/>
        </w:rPr>
      </w:pPr>
      <w:r>
        <w:rPr>
          <w:rFonts w:hint="eastAsia" w:ascii="仿宋_GB2312" w:eastAsia="仿宋_GB2312"/>
          <w:color w:val="000000"/>
          <w:sz w:val="28"/>
        </w:rPr>
        <w:t>地址</w:t>
      </w:r>
      <w:r>
        <w:rPr>
          <w:rFonts w:ascii="仿宋_GB2312" w:eastAsia="仿宋_GB2312"/>
          <w:color w:val="000000"/>
          <w:sz w:val="28"/>
        </w:rPr>
        <w:t>:</w:t>
      </w:r>
      <w:r>
        <w:rPr>
          <w:rFonts w:hint="eastAsia" w:ascii="仿宋_GB2312" w:eastAsia="仿宋_GB2312"/>
          <w:color w:val="000000"/>
          <w:sz w:val="28"/>
        </w:rPr>
        <w:t>三门县海游镇光明中路16号</w:t>
      </w:r>
      <w:r>
        <w:rPr>
          <w:rFonts w:ascii="仿宋_GB2312" w:eastAsia="仿宋_GB2312"/>
          <w:color w:val="000000"/>
          <w:sz w:val="28"/>
        </w:rPr>
        <w:t xml:space="preserve"> </w:t>
      </w:r>
      <w:r>
        <w:rPr>
          <w:rFonts w:hint="eastAsia" w:ascii="仿宋_GB2312" w:eastAsia="仿宋_GB2312"/>
          <w:color w:val="000000"/>
          <w:sz w:val="28"/>
        </w:rPr>
        <w:t xml:space="preserve">                        </w:t>
      </w: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r>
        <w:rPr>
          <w:rFonts w:hint="eastAsia" w:ascii="仿宋_GB2312" w:eastAsia="仿宋_GB2312"/>
          <w:color w:val="000000"/>
          <w:sz w:val="28"/>
        </w:rPr>
        <w:t>编制单位</w:t>
      </w:r>
      <w:r>
        <w:rPr>
          <w:rFonts w:hint="eastAsia" w:ascii="仿宋_GB2312" w:eastAsia="仿宋_GB2312"/>
          <w:color w:val="000000"/>
          <w:sz w:val="28"/>
          <w:lang w:eastAsia="zh-CN"/>
        </w:rPr>
        <w:t>：台州三飞检测科技有限公司</w:t>
      </w:r>
    </w:p>
    <w:p>
      <w:pPr>
        <w:pStyle w:val="2"/>
        <w:rPr>
          <w:rFonts w:hint="eastAsia" w:ascii="仿宋_GB2312" w:eastAsia="仿宋_GB2312"/>
          <w:color w:val="000000"/>
          <w:sz w:val="28"/>
          <w:lang w:val="en-US" w:eastAsia="zh-CN"/>
        </w:rPr>
      </w:pP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0576-83365703</w:t>
      </w:r>
    </w:p>
    <w:p>
      <w:pPr>
        <w:pStyle w:val="2"/>
        <w:rPr>
          <w:rFonts w:ascii="仿宋_GB2312" w:eastAsia="仿宋_GB2312"/>
          <w:color w:val="000000"/>
          <w:sz w:val="28"/>
        </w:rPr>
      </w:pPr>
    </w:p>
    <w:p>
      <w:pPr>
        <w:spacing w:line="360" w:lineRule="auto"/>
        <w:rPr>
          <w:rFonts w:ascii="仿宋_GB2312" w:eastAsia="仿宋_GB2312"/>
          <w:color w:val="000000"/>
          <w:sz w:val="28"/>
        </w:rPr>
      </w:pPr>
      <w:r>
        <w:rPr>
          <w:rFonts w:hint="eastAsia" w:ascii="仿宋_GB2312" w:eastAsia="仿宋_GB2312"/>
          <w:color w:val="000000"/>
          <w:sz w:val="28"/>
        </w:rPr>
        <w:t>传真</w:t>
      </w:r>
      <w:r>
        <w:rPr>
          <w:rFonts w:ascii="仿宋_GB2312" w:eastAsia="仿宋_GB2312"/>
          <w:color w:val="000000"/>
          <w:sz w:val="28"/>
        </w:rPr>
        <w:t>:</w:t>
      </w:r>
    </w:p>
    <w:p>
      <w:pPr>
        <w:pStyle w:val="2"/>
        <w:rPr>
          <w:rFonts w:hint="eastAsia" w:ascii="仿宋_GB2312" w:eastAsia="仿宋_GB2312"/>
          <w:color w:val="000000"/>
          <w:sz w:val="28"/>
        </w:rPr>
      </w:pPr>
      <w:r>
        <w:rPr>
          <w:rFonts w:hint="eastAsia" w:ascii="仿宋_GB2312" w:eastAsia="仿宋_GB2312"/>
          <w:color w:val="000000"/>
          <w:sz w:val="28"/>
        </w:rPr>
        <w:t>邮编</w:t>
      </w:r>
      <w:r>
        <w:rPr>
          <w:rFonts w:ascii="仿宋_GB2312" w:eastAsia="仿宋_GB2312"/>
          <w:color w:val="000000"/>
          <w:sz w:val="28"/>
        </w:rPr>
        <w:t>:</w:t>
      </w:r>
      <w:r>
        <w:rPr>
          <w:rFonts w:hint="eastAsia" w:ascii="仿宋_GB2312" w:eastAsia="仿宋_GB2312"/>
          <w:color w:val="000000"/>
          <w:sz w:val="28"/>
          <w:lang w:val="en-US" w:eastAsia="zh-CN"/>
        </w:rPr>
        <w:t>317100</w:t>
      </w:r>
      <w:r>
        <w:rPr>
          <w:rFonts w:ascii="仿宋_GB2312" w:eastAsia="仿宋_GB2312"/>
          <w:color w:val="000000"/>
          <w:sz w:val="28"/>
        </w:rPr>
        <w:t xml:space="preserve"> </w:t>
      </w:r>
      <w:r>
        <w:rPr>
          <w:rFonts w:hint="eastAsia" w:ascii="仿宋_GB2312" w:eastAsia="仿宋_GB2312"/>
          <w:color w:val="000000"/>
          <w:sz w:val="28"/>
        </w:rPr>
        <w:t xml:space="preserve"> </w:t>
      </w:r>
    </w:p>
    <w:p>
      <w:pPr>
        <w:pStyle w:val="2"/>
        <w:rPr>
          <w:rFonts w:hint="eastAsia" w:ascii="仿宋_GB2312" w:eastAsia="仿宋_GB2312"/>
          <w:color w:val="000000"/>
          <w:sz w:val="28"/>
        </w:rPr>
      </w:pPr>
    </w:p>
    <w:p>
      <w:pPr>
        <w:pStyle w:val="2"/>
      </w:pPr>
      <w:r>
        <w:rPr>
          <w:rFonts w:hint="eastAsia" w:ascii="仿宋_GB2312" w:eastAsia="仿宋_GB2312"/>
          <w:color w:val="000000"/>
          <w:sz w:val="28"/>
        </w:rPr>
        <w:t>地址</w:t>
      </w:r>
      <w:r>
        <w:rPr>
          <w:rFonts w:ascii="仿宋_GB2312" w:eastAsia="仿宋_GB2312"/>
          <w:color w:val="000000"/>
          <w:sz w:val="28"/>
        </w:rPr>
        <w:t xml:space="preserve">: </w:t>
      </w:r>
      <w:r>
        <w:rPr>
          <w:rFonts w:hint="eastAsia" w:ascii="仿宋_GB2312" w:eastAsia="仿宋_GB2312"/>
          <w:color w:val="000000"/>
          <w:sz w:val="28"/>
          <w:lang w:eastAsia="zh-CN"/>
        </w:rPr>
        <w:t>三门县海润街道滨海新城泰和路</w:t>
      </w:r>
      <w:r>
        <w:rPr>
          <w:rFonts w:hint="eastAsia" w:ascii="仿宋_GB2312" w:eastAsia="仿宋_GB2312"/>
          <w:color w:val="000000"/>
          <w:sz w:val="28"/>
          <w:lang w:val="en-US" w:eastAsia="zh-CN"/>
        </w:rPr>
        <w:t>20号</w:t>
      </w:r>
      <w:r>
        <w:rPr>
          <w:rFonts w:hint="eastAsia" w:ascii="仿宋_GB2312" w:eastAsia="仿宋_GB2312"/>
          <w:color w:val="000000"/>
          <w:sz w:val="28"/>
        </w:rPr>
        <w:t xml:space="preserve">  </w:t>
      </w:r>
    </w:p>
    <w:p>
      <w:pPr>
        <w:pStyle w:val="3"/>
        <w:jc w:val="both"/>
        <w:rPr>
          <w:rFonts w:hint="eastAsia"/>
          <w:sz w:val="44"/>
          <w:szCs w:val="44"/>
          <w:lang w:val="en-US" w:eastAsia="zh-CN"/>
        </w:rPr>
        <w:sectPr>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lang w:val="en-US" w:eastAsia="zh-CN"/>
        </w:rPr>
      </w:pPr>
    </w:p>
    <w:p>
      <w:pPr>
        <w:pStyle w:val="3"/>
        <w:jc w:val="center"/>
        <w:rPr>
          <w:rFonts w:hint="eastAsia"/>
          <w:sz w:val="44"/>
          <w:szCs w:val="44"/>
          <w:lang w:val="en-US" w:eastAsia="zh-CN"/>
        </w:rPr>
      </w:pPr>
      <w:r>
        <w:rPr>
          <w:rFonts w:hint="eastAsia"/>
          <w:sz w:val="44"/>
          <w:szCs w:val="44"/>
          <w:lang w:val="en-US" w:eastAsia="zh-CN"/>
        </w:rPr>
        <w:t>前   言</w:t>
      </w:r>
    </w:p>
    <w:p>
      <w:pPr>
        <w:rPr>
          <w:rFonts w:hint="eastAsia"/>
          <w:color w:val="auto"/>
          <w:lang w:val="en-US" w:eastAsia="zh-CN"/>
        </w:rPr>
      </w:pPr>
    </w:p>
    <w:p>
      <w:pPr>
        <w:pStyle w:val="4"/>
        <w:keepNext w:val="0"/>
        <w:keepLines w:val="0"/>
        <w:pageBreakBefore w:val="0"/>
        <w:widowControl/>
        <w:kinsoku/>
        <w:wordWrap/>
        <w:overflowPunct/>
        <w:topLinePunct w:val="0"/>
        <w:autoSpaceDE/>
        <w:autoSpaceDN/>
        <w:bidi w:val="0"/>
        <w:adjustRightInd w:val="0"/>
        <w:snapToGrid/>
        <w:spacing w:after="0" w:line="360" w:lineRule="auto"/>
        <w:ind w:left="0" w:leftChars="0" w:firstLine="480" w:firstLineChars="200"/>
        <w:jc w:val="both"/>
        <w:textAlignment w:val="auto"/>
        <w:outlineLvl w:val="9"/>
        <w:rPr>
          <w:rFonts w:hint="default" w:ascii="Times New Roman" w:hAnsi="Times New Roman" w:cs="Times New Roman" w:eastAsiaTheme="minorEastAsia"/>
          <w:color w:val="auto"/>
          <w:kern w:val="0"/>
          <w:sz w:val="24"/>
          <w:szCs w:val="24"/>
          <w:lang w:val="en-US" w:eastAsia="zh-CN" w:bidi="ar-SA"/>
        </w:rPr>
      </w:pPr>
      <w:bookmarkStart w:id="0" w:name="_Hlt215281152"/>
      <w:bookmarkStart w:id="1" w:name="_Hlt167119666"/>
      <w:r>
        <w:rPr>
          <w:rFonts w:hint="default" w:ascii="Times New Roman" w:hAnsi="Times New Roman" w:cs="Times New Roman" w:eastAsiaTheme="minorEastAsia"/>
          <w:color w:val="auto"/>
          <w:sz w:val="24"/>
          <w:szCs w:val="24"/>
          <w:lang w:val="en-US" w:eastAsia="zh-CN"/>
        </w:rPr>
        <w:t>三门县海威电气有限公司成立于200</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月，公司租用三门县海达橡胶厂位于三门县海游镇光明中路16号地块的部分厂房，租凭建筑面积460m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。公司拟投资100万元，购置普通车床、数控车床、液压机、攻丝机、氩弧焊机、钻床、冲床等设备，进行高压负荷开关的生产，形成年产5000套高压负荷开关的生产规模。</w:t>
      </w:r>
      <w:r>
        <w:rPr>
          <w:rFonts w:hint="default" w:ascii="Times New Roman" w:hAnsi="Times New Roman" w:cs="Times New Roman" w:eastAsiaTheme="minorEastAsia"/>
          <w:color w:val="auto"/>
          <w:kern w:val="0"/>
          <w:sz w:val="24"/>
          <w:szCs w:val="24"/>
          <w:lang w:val="en-US" w:eastAsia="zh-CN" w:bidi="ar-SA"/>
        </w:rPr>
        <w:t>项目采用单班制，单班8小时，生产时间为300天，员工人数15人。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三门县海威电气有限公司于2015年12月委托浙江东天虹环保工程有限公司编制《三门县海威电气有限公司年产5000套高压负荷开关项目建设环境影响报告表》，并于2016年1月7日取得三门县环境保护局的《关于三门县海威电气有限公司年产5000套高压负荷开关项目环境影响报告表的批复》（三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1号）。</w:t>
      </w:r>
      <w:bookmarkEnd w:id="0"/>
      <w:bookmarkEnd w:id="1"/>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国家有关环保法律法规的要求，建设项目必须执行“三同时”制度，相应的环保设施须经验收合格后方可投入运行使用。受三门县海威电气有限公司委托，我公司承担了该项目竣工环境保护验收监测工作。我公司在对现场进行了勘查、监测，并收集了有关资料的基础上编制了此验收监测报告。</w:t>
      </w:r>
    </w:p>
    <w:p>
      <w:pPr>
        <w:pStyle w:val="2"/>
        <w:rPr>
          <w:color w:val="auto"/>
        </w:rPr>
        <w:sectPr>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一</w:t>
      </w:r>
      <w:r>
        <w:rPr>
          <w:rFonts w:hint="eastAsia" w:asciiTheme="minorEastAsia" w:hAnsiTheme="minorEastAsia" w:eastAsiaTheme="minorEastAsia" w:cstheme="minorEastAsia"/>
          <w:b/>
          <w:color w:val="000000"/>
          <w:sz w:val="32"/>
          <w:szCs w:val="32"/>
          <w:lang w:eastAsia="zh-CN"/>
        </w:rPr>
        <w:t>、项目概况</w:t>
      </w:r>
    </w:p>
    <w:tbl>
      <w:tblPr>
        <w:tblStyle w:val="11"/>
        <w:tblW w:w="89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665"/>
        <w:gridCol w:w="1692"/>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三门县海威电气有限公司年产5000套高压负荷开关项目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三门县海威电气有限公司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三门县海游镇光明中路</w:t>
            </w:r>
            <w:r>
              <w:rPr>
                <w:rFonts w:hint="default" w:ascii="Times New Roman" w:hAnsi="Times New Roman" w:eastAsia="宋体" w:cs="Times New Roman"/>
                <w:color w:val="000000"/>
                <w:sz w:val="24"/>
                <w:szCs w:val="24"/>
                <w:lang w:val="en-US" w:eastAsia="zh-CN"/>
              </w:rPr>
              <w:t>16号地块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年产5000套高压负荷开关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661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年产5000套高压负荷开关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69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年1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月</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2788" w:type="dxa"/>
            <w:gridSpan w:val="3"/>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69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2788" w:type="dxa"/>
            <w:gridSpan w:val="3"/>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2018年8月22-23日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692"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szCs w:val="24"/>
                <w:lang w:val="en-US" w:eastAsia="zh-CN"/>
              </w:rPr>
              <w:t>三门县环境保护局</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2788" w:type="dxa"/>
            <w:gridSpan w:val="3"/>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浙江东天虹环保工程有限公司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69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2788" w:type="dxa"/>
            <w:gridSpan w:val="3"/>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69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100</w:t>
            </w:r>
            <w:r>
              <w:rPr>
                <w:rFonts w:hint="eastAsia" w:ascii="Times New Roman" w:hAnsi="Times New Roman" w:eastAsia="宋体" w:cs="Times New Roman"/>
                <w:color w:val="000000"/>
                <w:sz w:val="24"/>
                <w:szCs w:val="24"/>
                <w:lang w:val="en-US" w:eastAsia="zh-CN"/>
              </w:rPr>
              <w:t>万</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88"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12</w:t>
            </w:r>
            <w:r>
              <w:rPr>
                <w:rFonts w:hint="eastAsia" w:ascii="Times New Roman" w:hAnsi="Times New Roman" w:eastAsia="宋体" w:cs="Times New Roman"/>
                <w:color w:val="000000"/>
                <w:sz w:val="24"/>
                <w:szCs w:val="24"/>
                <w:lang w:val="en-US" w:eastAsia="zh-CN"/>
              </w:rPr>
              <w:t>万</w:t>
            </w:r>
          </w:p>
        </w:tc>
        <w:tc>
          <w:tcPr>
            <w:tcW w:w="76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03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69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100万</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988"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12万</w:t>
            </w:r>
          </w:p>
        </w:tc>
        <w:tc>
          <w:tcPr>
            <w:tcW w:w="76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035" w:type="dxa"/>
            <w:vAlign w:val="center"/>
          </w:tcPr>
          <w:p>
            <w:pPr>
              <w:spacing w:after="0" w:afterLines="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946" w:hRule="atLeast"/>
          <w:jc w:val="center"/>
        </w:trPr>
        <w:tc>
          <w:tcPr>
            <w:tcW w:w="642" w:type="dxa"/>
            <w:tcBorders>
              <w:right w:val="single" w:color="000000" w:sz="8" w:space="0"/>
            </w:tcBorders>
            <w:textDirection w:val="tbLrV"/>
            <w:vAlign w:val="center"/>
          </w:tcPr>
          <w:p>
            <w:pPr>
              <w:spacing w:after="0" w:afterLines="0"/>
              <w:ind w:left="113" w:right="113"/>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8282" w:type="dxa"/>
            <w:gridSpan w:val="6"/>
            <w:tcBorders>
              <w:left w:val="single" w:color="000000" w:sz="8" w:space="0"/>
            </w:tcBorders>
            <w:vAlign w:val="center"/>
          </w:tcPr>
          <w:p>
            <w:pPr>
              <w:spacing w:after="0" w:afterLines="0" w:line="360" w:lineRule="auto"/>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1.1《中华人民共和国环境保护法》（2015年1月）；</w:t>
            </w:r>
          </w:p>
          <w:p>
            <w:pPr>
              <w:spacing w:after="0" w:afterLines="0" w:line="360" w:lineRule="auto"/>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中华人民共和国国务院令第682号《建设项目环境保护管理条例》，（2017年7月）；</w:t>
            </w:r>
          </w:p>
          <w:p>
            <w:pPr>
              <w:spacing w:after="0" w:afterLines="0" w:line="360" w:lineRule="auto"/>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环境保护部 国环规环评〔2017〕4号《建设项目竣工环境保护验收暂行办法》；</w:t>
            </w:r>
          </w:p>
          <w:p>
            <w:pPr>
              <w:spacing w:after="0" w:afterLines="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建设项目竣工环境保护验收技术指南 污染影响类</w:t>
            </w:r>
            <w:r>
              <w:rPr>
                <w:rFonts w:hint="default" w:ascii="Times New Roman" w:hAnsi="Times New Roman" w:eastAsia="宋体" w:cs="Times New Roman"/>
                <w:color w:val="000000"/>
                <w:sz w:val="24"/>
                <w:szCs w:val="24"/>
                <w:lang w:val="en-US" w:eastAsia="zh-CN"/>
              </w:rPr>
              <w:t>》（2018年5月16日）；</w:t>
            </w:r>
          </w:p>
          <w:p>
            <w:pPr>
              <w:spacing w:after="0" w:afterLines="0" w:line="360" w:lineRule="auto"/>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浙江省人民政府令第3</w:t>
            </w:r>
            <w:r>
              <w:rPr>
                <w:rFonts w:hint="eastAsia" w:ascii="Times New Roman" w:hAnsi="Times New Roman" w:eastAsia="宋体" w:cs="Times New Roman"/>
                <w:color w:val="000000"/>
                <w:sz w:val="24"/>
                <w:szCs w:val="24"/>
                <w:lang w:val="en-US" w:eastAsia="zh-CN"/>
              </w:rPr>
              <w:t>64</w:t>
            </w:r>
            <w:r>
              <w:rPr>
                <w:rFonts w:hint="default" w:ascii="Times New Roman" w:hAnsi="Times New Roman" w:eastAsia="宋体" w:cs="Times New Roman"/>
                <w:color w:val="000000"/>
                <w:sz w:val="24"/>
                <w:szCs w:val="24"/>
                <w:lang w:val="en-US" w:eastAsia="zh-CN"/>
              </w:rPr>
              <w:t>号《浙江省建设项目环境保护管理办法》（201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22日</w:t>
            </w:r>
            <w:r>
              <w:rPr>
                <w:rFonts w:hint="default" w:ascii="Times New Roman" w:hAnsi="Times New Roman" w:eastAsia="宋体" w:cs="Times New Roman"/>
                <w:color w:val="000000"/>
                <w:sz w:val="24"/>
                <w:szCs w:val="24"/>
                <w:lang w:val="en-US" w:eastAsia="zh-CN"/>
              </w:rPr>
              <w:t>）；</w:t>
            </w:r>
          </w:p>
          <w:p>
            <w:pPr>
              <w:spacing w:after="0" w:afterLines="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浙江省环境监测中心《浙江省环境监测质量保证技术规定》；</w:t>
            </w:r>
          </w:p>
          <w:p>
            <w:pPr>
              <w:spacing w:after="0" w:afterLines="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浙江</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省环境保护局《关于进一步加强建设项目“三同时”管理工作的通知》（浙环发</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2008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57号</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p>
            <w:pPr>
              <w:pStyle w:val="2"/>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1.8</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三门县海威电气有限公司年产5000套高压负荷开关</w:t>
            </w:r>
            <w:r>
              <w:rPr>
                <w:rFonts w:hint="eastAsia" w:cs="Times New Roman"/>
                <w:color w:val="000000"/>
                <w:sz w:val="24"/>
                <w:szCs w:val="24"/>
                <w:lang w:eastAsia="zh-CN"/>
              </w:rPr>
              <w:t>生产</w:t>
            </w:r>
            <w:r>
              <w:rPr>
                <w:rFonts w:hint="default" w:ascii="Times New Roman" w:hAnsi="Times New Roman" w:eastAsia="宋体" w:cs="Times New Roman"/>
                <w:color w:val="000000"/>
                <w:sz w:val="24"/>
                <w:szCs w:val="24"/>
                <w:lang w:eastAsia="zh-CN"/>
              </w:rPr>
              <w:t>项目</w:t>
            </w:r>
            <w:r>
              <w:rPr>
                <w:rFonts w:hint="default" w:ascii="Times New Roman" w:hAnsi="Times New Roman" w:eastAsia="宋体" w:cs="Times New Roman"/>
                <w:color w:val="000000"/>
                <w:sz w:val="24"/>
                <w:szCs w:val="24"/>
              </w:rPr>
              <w:t>环境影响报告</w:t>
            </w:r>
            <w:r>
              <w:rPr>
                <w:rFonts w:hint="default" w:ascii="Times New Roman" w:hAnsi="Times New Roman" w:eastAsia="宋体" w:cs="Times New Roman"/>
                <w:color w:val="000000"/>
                <w:sz w:val="24"/>
                <w:szCs w:val="24"/>
                <w:lang w:val="en-US" w:eastAsia="zh-CN"/>
              </w:rPr>
              <w:t>表</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浙江东天虹环保工程有限公司</w:t>
            </w:r>
            <w:r>
              <w:rPr>
                <w:rFonts w:hint="default" w:ascii="Times New Roman" w:hAnsi="Times New Roman" w:eastAsia="宋体" w:cs="Times New Roman"/>
                <w:color w:val="000000"/>
                <w:sz w:val="24"/>
                <w:szCs w:val="24"/>
              </w:rPr>
              <w:t>，201</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r>
              <w:rPr>
                <w:rFonts w:hint="eastAsia" w:cs="Times New Roman"/>
                <w:color w:val="000000"/>
                <w:sz w:val="24"/>
                <w:szCs w:val="24"/>
                <w:lang w:val="en-US" w:eastAsia="zh-CN"/>
              </w:rPr>
              <w:t>12</w:t>
            </w:r>
            <w:r>
              <w:rPr>
                <w:rFonts w:hint="default" w:ascii="Times New Roman" w:hAnsi="Times New Roman" w:eastAsia="宋体" w:cs="Times New Roman"/>
                <w:color w:val="000000"/>
                <w:sz w:val="24"/>
                <w:szCs w:val="24"/>
              </w:rPr>
              <w:t>月</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p>
            <w:pPr>
              <w:pStyle w:val="2"/>
              <w:rPr>
                <w:rFonts w:hint="eastAsia" w:ascii="Times New Roman" w:hAnsi="Times New Roman" w:eastAsia="宋体" w:cs="Times New Roman"/>
                <w:color w:val="000000"/>
                <w:sz w:val="24"/>
                <w:szCs w:val="24"/>
                <w:lang w:val="en-US" w:eastAsia="zh-CN"/>
              </w:rPr>
            </w:pPr>
          </w:p>
          <w:p>
            <w:pPr>
              <w:spacing w:after="0" w:afterLines="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1.9</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三门县海威电气有限公司年产5000套高压负荷开关</w:t>
            </w:r>
            <w:r>
              <w:rPr>
                <w:rFonts w:hint="eastAsia" w:ascii="Times New Roman" w:hAnsi="Times New Roman" w:eastAsia="宋体" w:cs="Times New Roman"/>
                <w:color w:val="000000"/>
                <w:sz w:val="24"/>
                <w:szCs w:val="24"/>
                <w:lang w:val="en-US" w:eastAsia="zh-CN"/>
              </w:rPr>
              <w:t>生产项目环境影响报告表的批复</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三环建</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号，201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日</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42" w:type="dxa"/>
            <w:tcBorders>
              <w:right w:val="single" w:color="000000" w:sz="8" w:space="0"/>
            </w:tcBorders>
            <w:textDirection w:val="tbLrV"/>
            <w:vAlign w:val="center"/>
          </w:tcPr>
          <w:p>
            <w:pPr>
              <w:spacing w:after="0" w:afterLines="0"/>
              <w:ind w:left="113" w:right="113"/>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8282" w:type="dxa"/>
            <w:gridSpan w:val="6"/>
            <w:tcBorders>
              <w:left w:val="single" w:color="000000" w:sz="8" w:space="0"/>
            </w:tcBorders>
            <w:vAlign w:val="top"/>
          </w:tcPr>
          <w:p>
            <w:pPr>
              <w:keepNext w:val="0"/>
              <w:keepLines w:val="0"/>
              <w:pageBreakBefore w:val="0"/>
              <w:widowControl/>
              <w:kinsoku/>
              <w:wordWrap/>
              <w:overflowPunct/>
              <w:topLinePunct w:val="0"/>
              <w:autoSpaceDE/>
              <w:autoSpaceDN/>
              <w:bidi w:val="0"/>
              <w:adjustRightInd w:val="0"/>
              <w:snapToGrid w:val="0"/>
              <w:spacing w:after="0" w:afterLines="0" w:line="400" w:lineRule="exact"/>
              <w:textAlignment w:val="auto"/>
              <w:outlineLvl w:val="9"/>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、噪声</w:t>
            </w:r>
          </w:p>
          <w:p>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本项目营运期</w:t>
            </w:r>
            <w:r>
              <w:rPr>
                <w:rFonts w:hint="eastAsia" w:ascii="Times New Roman" w:hAnsi="Times New Roman" w:eastAsia="宋体" w:cs="Times New Roman"/>
                <w:color w:val="000000"/>
                <w:sz w:val="24"/>
                <w:szCs w:val="24"/>
                <w:lang w:eastAsia="zh-CN"/>
              </w:rPr>
              <w:t>间</w:t>
            </w:r>
            <w:r>
              <w:rPr>
                <w:rFonts w:hint="default" w:ascii="Times New Roman" w:hAnsi="Times New Roman" w:eastAsia="宋体" w:cs="Times New Roman"/>
                <w:color w:val="000000"/>
                <w:sz w:val="24"/>
                <w:szCs w:val="24"/>
              </w:rPr>
              <w:t>厂界噪声</w:t>
            </w:r>
            <w:r>
              <w:rPr>
                <w:rFonts w:hint="eastAsia" w:ascii="Times New Roman" w:hAnsi="Times New Roman" w:eastAsia="宋体" w:cs="Times New Roman"/>
                <w:color w:val="000000"/>
                <w:sz w:val="24"/>
                <w:szCs w:val="24"/>
                <w:lang w:eastAsia="zh-CN"/>
              </w:rPr>
              <w:t>排放</w:t>
            </w:r>
            <w:r>
              <w:rPr>
                <w:rFonts w:hint="default" w:ascii="Times New Roman" w:hAnsi="Times New Roman" w:eastAsia="宋体" w:cs="Times New Roman"/>
                <w:color w:val="000000"/>
                <w:sz w:val="24"/>
                <w:szCs w:val="24"/>
              </w:rPr>
              <w:t>执行《工业企业厂界环境噪声排放标准》（GB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12348-2008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中的</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类标准。具体标准</w:t>
            </w:r>
            <w:r>
              <w:rPr>
                <w:rFonts w:hint="eastAsia" w:ascii="Times New Roman" w:hAnsi="Times New Roman" w:eastAsia="宋体" w:cs="Times New Roman"/>
                <w:color w:val="000000"/>
                <w:sz w:val="24"/>
                <w:szCs w:val="24"/>
                <w:lang w:eastAsia="zh-CN"/>
              </w:rPr>
              <w:t>值</w:t>
            </w:r>
            <w:r>
              <w:rPr>
                <w:rFonts w:hint="default" w:ascii="Times New Roman" w:hAnsi="Times New Roman" w:eastAsia="宋体" w:cs="Times New Roman"/>
                <w:color w:val="000000"/>
                <w:sz w:val="24"/>
                <w:szCs w:val="24"/>
              </w:rPr>
              <w:t>见表</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 xml:space="preserve">  工业企业厂界环境噪声排放标准</w:t>
            </w:r>
          </w:p>
          <w:tbl>
            <w:tblPr>
              <w:tblStyle w:val="11"/>
              <w:tblW w:w="8021"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2673"/>
              <w:gridCol w:w="26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673"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类别</w:t>
                  </w:r>
                </w:p>
              </w:tc>
              <w:tc>
                <w:tcPr>
                  <w:tcW w:w="2673"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昼间Leq</w:t>
                  </w:r>
                  <w:r>
                    <w:rPr>
                      <w:rFonts w:hint="eastAsia"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dB(A)</w:t>
                  </w:r>
                </w:p>
              </w:tc>
              <w:tc>
                <w:tcPr>
                  <w:tcW w:w="267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夜间Leq</w:t>
                  </w:r>
                  <w:r>
                    <w:rPr>
                      <w:rFonts w:hint="eastAsia"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2673"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2类</w:t>
                  </w:r>
                </w:p>
              </w:tc>
              <w:tc>
                <w:tcPr>
                  <w:tcW w:w="2673"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6</w:t>
                  </w:r>
                  <w:r>
                    <w:rPr>
                      <w:rFonts w:hint="eastAsia" w:ascii="Times New Roman" w:hAnsi="Times New Roman" w:eastAsia="宋体" w:cs="Times New Roman"/>
                      <w:color w:val="000000"/>
                      <w:sz w:val="21"/>
                      <w:szCs w:val="21"/>
                      <w:lang w:val="en-US" w:eastAsia="zh-CN"/>
                    </w:rPr>
                    <w:t>0</w:t>
                  </w:r>
                </w:p>
              </w:tc>
              <w:tc>
                <w:tcPr>
                  <w:tcW w:w="2675"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r>
          </w:tbl>
          <w:p>
            <w:pPr>
              <w:keepNext w:val="0"/>
              <w:keepLines w:val="0"/>
              <w:pageBreakBefore w:val="0"/>
              <w:widowControl/>
              <w:kinsoku/>
              <w:wordWrap/>
              <w:overflowPunct/>
              <w:topLinePunct w:val="0"/>
              <w:autoSpaceDE/>
              <w:autoSpaceDN/>
              <w:bidi w:val="0"/>
              <w:adjustRightInd w:val="0"/>
              <w:snapToGrid w:val="0"/>
              <w:spacing w:after="0" w:afterLines="0" w:line="400" w:lineRule="exact"/>
              <w:textAlignment w:val="auto"/>
              <w:outlineLvl w:val="9"/>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00" w:lineRule="exact"/>
              <w:ind w:firstLine="480" w:firstLineChars="200"/>
              <w:textAlignment w:val="auto"/>
              <w:outlineLvl w:val="9"/>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本项目产生的固废为一般性固废和危险固废。产生的一般性固废，其贮存、处理</w:t>
            </w:r>
            <w:r>
              <w:rPr>
                <w:rFonts w:hint="default" w:ascii="Times New Roman" w:hAnsi="Times New Roman" w:eastAsia="宋体" w:cs="Times New Roman"/>
                <w:color w:val="000000"/>
                <w:sz w:val="24"/>
                <w:szCs w:val="24"/>
                <w:lang w:val="en-US" w:eastAsia="zh-CN"/>
              </w:rPr>
              <w:t>执行《一般工业固体废物贮存、处置场污染控制标准》(GB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18599-2001) 及修改单</w:t>
            </w:r>
            <w:r>
              <w:rPr>
                <w:rFonts w:hint="eastAsia" w:ascii="Times New Roman" w:hAnsi="Times New Roman" w:eastAsia="宋体" w:cs="Times New Roman"/>
                <w:color w:val="000000"/>
                <w:sz w:val="24"/>
                <w:szCs w:val="24"/>
                <w:lang w:val="en-US" w:eastAsia="zh-CN"/>
              </w:rPr>
              <w:t>（环境保护部公告2013年36号，2013.6.8）；危险性固废执行《危险废物贮存污染控制标准》（GB 18597-2001）及修改单。</w:t>
            </w:r>
          </w:p>
        </w:tc>
      </w:tr>
    </w:tbl>
    <w:p>
      <w:pPr>
        <w:keepNext w:val="0"/>
        <w:keepLines w:val="0"/>
        <w:pageBreakBefore w:val="0"/>
        <w:widowControl/>
        <w:kinsoku/>
        <w:wordWrap/>
        <w:overflowPunct/>
        <w:topLinePunct w:val="0"/>
        <w:autoSpaceDE/>
        <w:autoSpaceDN/>
        <w:bidi w:val="0"/>
        <w:adjustRightInd w:val="0"/>
        <w:snapToGrid w:val="0"/>
        <w:spacing w:after="0" w:afterLines="0" w:line="340" w:lineRule="exact"/>
        <w:textAlignment w:val="auto"/>
        <w:outlineLvl w:val="9"/>
        <w:rPr>
          <w:rFonts w:hint="eastAsia" w:eastAsia="仿宋_GB2312"/>
          <w:b/>
          <w:color w:val="000000"/>
          <w:sz w:val="21"/>
          <w:szCs w:val="21"/>
          <w:lang w:eastAsia="zh-CN"/>
        </w:rPr>
      </w:pPr>
      <w:r>
        <w:rPr>
          <w:rFonts w:hint="eastAsia" w:asciiTheme="minorEastAsia" w:hAnsiTheme="minorEastAsia" w:eastAsiaTheme="minorEastAsia" w:cstheme="minorEastAsia"/>
          <w:b/>
          <w:color w:val="000000"/>
          <w:sz w:val="32"/>
          <w:szCs w:val="32"/>
        </w:rPr>
        <w:t>二</w:t>
      </w:r>
      <w:r>
        <w:rPr>
          <w:rFonts w:hint="eastAsia" w:asciiTheme="minorEastAsia" w:hAnsiTheme="minorEastAsia" w:eastAsiaTheme="minorEastAsia" w:cstheme="minorEastAsia"/>
          <w:b/>
          <w:color w:val="000000"/>
          <w:sz w:val="32"/>
          <w:szCs w:val="32"/>
          <w:lang w:eastAsia="zh-CN"/>
        </w:rPr>
        <w:t>、项目建设情况</w:t>
      </w:r>
    </w:p>
    <w:tbl>
      <w:tblPr>
        <w:tblStyle w:val="11"/>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298" w:hRule="atLeast"/>
          <w:jc w:val="center"/>
        </w:trPr>
        <w:tc>
          <w:tcPr>
            <w:tcW w:w="9028"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00" w:lineRule="exact"/>
              <w:jc w:val="left"/>
              <w:textAlignment w:val="auto"/>
              <w:outlineLvl w:val="9"/>
              <w:rPr>
                <w:rFonts w:hint="eastAsia" w:ascii="宋体" w:hAnsi="宋体" w:eastAsia="宋体"/>
                <w:b/>
                <w:bCs/>
                <w:color w:val="000000"/>
                <w:sz w:val="24"/>
                <w:szCs w:val="24"/>
              </w:rPr>
            </w:pPr>
            <w:r>
              <w:rPr>
                <w:rFonts w:hint="eastAsia" w:ascii="宋体" w:hAnsi="宋体" w:eastAsia="宋体"/>
                <w:b/>
                <w:bCs/>
                <w:color w:val="000000"/>
                <w:sz w:val="24"/>
                <w:szCs w:val="24"/>
              </w:rPr>
              <w:t>一、建设项目基本情况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00" w:lineRule="exact"/>
              <w:jc w:val="both"/>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项目实施地位于</w:t>
            </w:r>
            <w:r>
              <w:rPr>
                <w:rFonts w:hint="eastAsia" w:ascii="Times New Roman" w:hAnsi="Times New Roman" w:eastAsia="宋体" w:cs="Times New Roman"/>
                <w:color w:val="000000"/>
                <w:sz w:val="24"/>
                <w:szCs w:val="24"/>
                <w:lang w:val="en-US" w:eastAsia="zh-CN"/>
              </w:rPr>
              <w:t>三门县海游镇光明中路16号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项目东、南面为海达橡胶厂；西面为第二机械厂；北面为浙江巨力电机成套设备有限公司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w:t>
            </w:r>
            <w:r>
              <w:rPr>
                <w:rFonts w:hint="default" w:ascii="Times New Roman" w:hAnsi="Times New Roman" w:eastAsia="宋体" w:cs="Times New Roman"/>
                <w:color w:val="000000"/>
                <w:sz w:val="24"/>
                <w:szCs w:val="24"/>
                <w:lang w:val="en-US" w:eastAsia="zh-CN"/>
              </w:rPr>
              <w:t>目主要组成及建设情况见表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1。</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00" w:lineRule="exact"/>
              <w:jc w:val="center"/>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1  项目主要组成及建设情况</w:t>
            </w:r>
          </w:p>
          <w:tbl>
            <w:tblPr>
              <w:tblStyle w:val="12"/>
              <w:tblW w:w="8511"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2430"/>
              <w:gridCol w:w="271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15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工程类别</w:t>
                  </w:r>
                </w:p>
              </w:tc>
              <w:tc>
                <w:tcPr>
                  <w:tcW w:w="2430"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环评中建设内容</w:t>
                  </w:r>
                </w:p>
              </w:tc>
              <w:tc>
                <w:tcPr>
                  <w:tcW w:w="2710"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环评批复建设内容</w:t>
                  </w:r>
                </w:p>
              </w:tc>
              <w:tc>
                <w:tcPr>
                  <w:tcW w:w="2217"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实际建设内容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9" w:hRule="atLeast"/>
                <w:jc w:val="center"/>
              </w:trPr>
              <w:tc>
                <w:tcPr>
                  <w:tcW w:w="115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噪声</w:t>
                  </w:r>
                </w:p>
              </w:tc>
              <w:tc>
                <w:tcPr>
                  <w:tcW w:w="2430"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清洁生产，尽量选用优质低噪设备，以减轻噪声对环境的污染；车间内的生产设备、设施进行合理的布置和加装减震措施，高噪声设备尽量远离厂界布置；企业应加强设备的日常维修、更新，使生产设各处于正常工况，杜绝设备在不正常运行状况下出现高噪声现象。</w:t>
                  </w:r>
                </w:p>
              </w:tc>
              <w:tc>
                <w:tcPr>
                  <w:tcW w:w="2710" w:type="dxa"/>
                  <w:tcBorders>
                    <w:tl2br w:val="nil"/>
                    <w:tr2bl w:val="nil"/>
                  </w:tcBorders>
                  <w:vAlign w:val="center"/>
                </w:tcPr>
                <w:p>
                  <w:pPr>
                    <w:widowControl w:val="0"/>
                    <w:numPr>
                      <w:ilvl w:val="0"/>
                      <w:numId w:val="0"/>
                    </w:numPr>
                    <w:spacing w:after="0" w:afterLines="0" w:line="240" w:lineRule="auto"/>
                    <w:jc w:val="both"/>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color w:val="000000"/>
                      <w:sz w:val="21"/>
                      <w:szCs w:val="21"/>
                      <w:lang w:eastAsia="zh-CN"/>
                    </w:rPr>
                    <w:t>加强生产管理，同时必须做好降噪诚震工作。加强设备的维护，确保设备处于良好的运转状态，杜绝因设备不正常运转时产生的高噪声现象。</w:t>
                  </w:r>
                </w:p>
              </w:tc>
              <w:tc>
                <w:tcPr>
                  <w:tcW w:w="2217" w:type="dxa"/>
                  <w:tcBorders>
                    <w:tl2br w:val="nil"/>
                    <w:tr2bl w:val="nil"/>
                  </w:tcBorders>
                  <w:vAlign w:val="center"/>
                </w:tcPr>
                <w:p>
                  <w:pPr>
                    <w:widowControl w:val="0"/>
                    <w:numPr>
                      <w:ilvl w:val="0"/>
                      <w:numId w:val="0"/>
                    </w:numPr>
                    <w:spacing w:after="0" w:afterLines="0" w:line="240" w:lineRule="auto"/>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该项目主要声源均设置在密闭房间内</w:t>
                  </w: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固废</w:t>
                  </w:r>
                </w:p>
              </w:tc>
              <w:tc>
                <w:tcPr>
                  <w:tcW w:w="2430"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项目产生的金属边角料由有关物资回收部门回收综合利用；危险固废废乳化液妥善收集后委托有危废处置资质的单位作无害化安全处置；生活垃圾由环卫统一清运，集中处理。</w:t>
                  </w:r>
                </w:p>
              </w:tc>
              <w:tc>
                <w:tcPr>
                  <w:tcW w:w="2710"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建设规范固废堆放场，生产中产生的边角料属于一般固废，要求分类收集后外卖，不得露天堆放，按一般固废管理工作要求做好暂时储存管理工作，并防雨防渗。废乳化液属危险废物，要密闭存放，加强管理，做到防渗防漏防腐，危险废物必须交由有资质的的单位处置，危险废物转移须建立联单制并签订委托协议。生活垃圾应委托环卫部门进行统一处理。</w:t>
                  </w:r>
                </w:p>
              </w:tc>
              <w:tc>
                <w:tcPr>
                  <w:tcW w:w="2217" w:type="dxa"/>
                  <w:tcBorders>
                    <w:tl2br w:val="nil"/>
                    <w:tr2bl w:val="nil"/>
                  </w:tcBorders>
                  <w:vAlign w:val="center"/>
                </w:tcPr>
                <w:p>
                  <w:pPr>
                    <w:widowControl w:val="0"/>
                    <w:numPr>
                      <w:ilvl w:val="0"/>
                      <w:numId w:val="0"/>
                    </w:numPr>
                    <w:spacing w:after="0" w:afterLines="0" w:line="240" w:lineRule="auto"/>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企业的固废分为一般固废和危险固废，分类收集，分质处置，企业已设置危险固废仓库，并做好防风防雨防渗漏工作。危险固废委托</w:t>
                  </w:r>
                  <w:r>
                    <w:rPr>
                      <w:rFonts w:hint="default" w:ascii="Times New Roman" w:hAnsi="Times New Roman" w:eastAsia="宋体" w:cs="Times New Roman"/>
                      <w:color w:val="auto"/>
                      <w:sz w:val="21"/>
                      <w:szCs w:val="21"/>
                      <w:vertAlign w:val="baseline"/>
                      <w:lang w:val="en-US" w:eastAsia="zh-CN"/>
                    </w:rPr>
                    <w:t>台州市德长环保有限公司处置，进</w:t>
                  </w:r>
                  <w:r>
                    <w:rPr>
                      <w:rFonts w:hint="default" w:ascii="Times New Roman" w:hAnsi="Times New Roman" w:eastAsia="宋体" w:cs="Times New Roman"/>
                      <w:color w:val="000000"/>
                      <w:sz w:val="21"/>
                      <w:szCs w:val="21"/>
                      <w:vertAlign w:val="baseline"/>
                      <w:lang w:val="en-US" w:eastAsia="zh-CN"/>
                    </w:rPr>
                    <w:t>行无害化处理。一般生产固废由物质公司回收利用，生活垃圾委托当地环卫部门清运处置。</w:t>
                  </w:r>
                </w:p>
              </w:tc>
            </w:tr>
          </w:tbl>
          <w:p>
            <w:pPr>
              <w:spacing w:line="360" w:lineRule="exact"/>
              <w:rPr>
                <w:rFonts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65" w:hRule="atLeast"/>
          <w:jc w:val="center"/>
        </w:trPr>
        <w:tc>
          <w:tcPr>
            <w:tcW w:w="9028" w:type="dxa"/>
            <w:vAlign w:val="top"/>
          </w:tcPr>
          <w:p>
            <w:pPr>
              <w:keepNext w:val="0"/>
              <w:keepLines w:val="0"/>
              <w:pageBreakBefore w:val="0"/>
              <w:numPr>
                <w:ilvl w:val="0"/>
                <w:numId w:val="0"/>
              </w:numPr>
              <w:kinsoku/>
              <w:wordWrap/>
              <w:overflowPunct/>
              <w:topLinePunct w:val="0"/>
              <w:bidi w:val="0"/>
              <w:adjustRightInd w:val="0"/>
              <w:spacing w:after="0" w:afterLines="0" w:line="440" w:lineRule="exact"/>
              <w:jc w:val="left"/>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二</w:t>
            </w:r>
            <w:r>
              <w:rPr>
                <w:rFonts w:hint="default" w:ascii="Times New Roman" w:hAnsi="Times New Roman" w:cs="Times New Roman" w:eastAsiaTheme="minorEastAsia"/>
                <w:b/>
                <w:bCs/>
                <w:sz w:val="24"/>
                <w:szCs w:val="24"/>
              </w:rPr>
              <w:t>、</w:t>
            </w:r>
            <w:r>
              <w:rPr>
                <w:rFonts w:hint="default" w:ascii="Times New Roman" w:hAnsi="Times New Roman" w:cs="Times New Roman" w:eastAsiaTheme="minorEastAsia"/>
                <w:b/>
                <w:bCs/>
                <w:sz w:val="24"/>
                <w:szCs w:val="24"/>
                <w:lang w:eastAsia="zh-CN"/>
              </w:rPr>
              <w:t>生产设施与设备</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项目主要生产设备见表2-3。</w:t>
            </w:r>
          </w:p>
          <w:p>
            <w:pPr>
              <w:pStyle w:val="2"/>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表2-3  项目主要生产设备</w:t>
            </w:r>
          </w:p>
          <w:tbl>
            <w:tblPr>
              <w:tblStyle w:val="11"/>
              <w:tblW w:w="8517"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219"/>
              <w:gridCol w:w="882"/>
              <w:gridCol w:w="1318"/>
              <w:gridCol w:w="1317"/>
              <w:gridCol w:w="1036"/>
              <w:gridCol w:w="1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设备名称</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单位</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环评</w:t>
                  </w:r>
                  <w:r>
                    <w:rPr>
                      <w:rFonts w:hint="default" w:ascii="Times New Roman" w:hAnsi="Times New Roman" w:cs="Times New Roman" w:eastAsiaTheme="minorEastAsia"/>
                    </w:rPr>
                    <w:t>数量</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现状数量</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符合性</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普通车床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数控车床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增加一台</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液压床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攻丝机</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氩弧焊机</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6</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钻床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增加一台</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7</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冲床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8</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工频耐压试验车</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9</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开关机械特性测试仪</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10</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直流数字电阻测试仪</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rPr>
                  </w:pPr>
                </w:p>
              </w:tc>
            </w:tr>
          </w:tbl>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项目主要原辅材料用量见表2-4。</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jc w:val="center"/>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表2-4  项目主要原辅材料一览表</w:t>
            </w:r>
          </w:p>
          <w:tbl>
            <w:tblPr>
              <w:tblStyle w:val="12"/>
              <w:tblW w:w="8812" w:type="dxa"/>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622"/>
              <w:gridCol w:w="908"/>
              <w:gridCol w:w="1436"/>
              <w:gridCol w:w="1387"/>
              <w:gridCol w:w="1324"/>
              <w:gridCol w:w="1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序号</w:t>
                  </w:r>
                </w:p>
              </w:tc>
              <w:tc>
                <w:tcPr>
                  <w:tcW w:w="1622"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原辅材料名称</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单位</w:t>
                  </w:r>
                </w:p>
              </w:tc>
              <w:tc>
                <w:tcPr>
                  <w:tcW w:w="1436"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环评数量</w:t>
                  </w:r>
                </w:p>
              </w:tc>
              <w:tc>
                <w:tcPr>
                  <w:tcW w:w="1387"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现状数量</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符合性</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毛坯钢A3、45#</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25</w:t>
                  </w:r>
                </w:p>
              </w:tc>
              <w:tc>
                <w:tcPr>
                  <w:tcW w:w="1324" w:type="dxa"/>
                  <w:vMerge w:val="restart"/>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一致</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毛坯铜T3</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15</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绝缘管</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塑料配件</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电焊条</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0.05</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6</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螺丝</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7</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乳化液原液</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0.02</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0.02</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稀释20倍使用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8</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润滑油</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0.01</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0.01</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jc w:val="center"/>
              <w:textAlignment w:val="auto"/>
              <w:outlineLvl w:val="9"/>
              <w:rPr>
                <w:rFonts w:hint="default" w:ascii="Times New Roman" w:hAnsi="Times New Roman" w:cs="Times New Roman" w:eastAsiaTheme="minorEastAsia"/>
              </w:rPr>
            </w:pPr>
          </w:p>
          <w:p>
            <w:pPr>
              <w:pStyle w:val="2"/>
              <w:rPr>
                <w:rFonts w:hint="default"/>
              </w:rPr>
            </w:pPr>
          </w:p>
          <w:p>
            <w:pPr>
              <w:pStyle w:val="2"/>
              <w:numPr>
                <w:ilvl w:val="0"/>
                <w:numId w:val="0"/>
              </w:numPr>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831" w:hRule="atLeast"/>
          <w:jc w:val="center"/>
        </w:trPr>
        <w:tc>
          <w:tcPr>
            <w:tcW w:w="9028" w:type="dxa"/>
            <w:vAlign w:val="top"/>
          </w:tcPr>
          <w:p>
            <w:pPr>
              <w:numPr>
                <w:ilvl w:val="0"/>
                <w:numId w:val="1"/>
              </w:numPr>
              <w:spacing w:before="62" w:beforeLines="20" w:line="360" w:lineRule="auto"/>
              <w:rPr>
                <w:rFonts w:hint="default"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t>项目</w:t>
            </w:r>
            <w:r>
              <w:rPr>
                <w:rFonts w:hint="default" w:ascii="Times New Roman" w:hAnsi="Times New Roman" w:cs="Times New Roman" w:eastAsiaTheme="minorEastAsia"/>
                <w:b/>
                <w:bCs/>
                <w:sz w:val="24"/>
                <w:szCs w:val="24"/>
                <w:lang w:eastAsia="zh-CN"/>
              </w:rPr>
              <w:t>工艺流程</w:t>
            </w:r>
          </w:p>
          <w:p>
            <w:pPr>
              <w:numPr>
                <w:ilvl w:val="0"/>
                <w:numId w:val="0"/>
              </w:numPr>
              <w:spacing w:before="62" w:beforeLines="20" w:line="360" w:lineRule="auto"/>
              <w:rPr>
                <w:rFonts w:hint="default"/>
                <w:lang w:eastAsia="zh-CN"/>
              </w:rPr>
            </w:pPr>
            <w:r>
              <w:rPr>
                <w:sz w:val="24"/>
              </w:rPr>
              <mc:AlternateContent>
                <mc:Choice Requires="wps">
                  <w:drawing>
                    <wp:anchor distT="0" distB="0" distL="114300" distR="114300" simplePos="0" relativeHeight="251726848" behindDoc="0" locked="0" layoutInCell="1" allowOverlap="1">
                      <wp:simplePos x="0" y="0"/>
                      <wp:positionH relativeFrom="column">
                        <wp:posOffset>4279900</wp:posOffset>
                      </wp:positionH>
                      <wp:positionV relativeFrom="paragraph">
                        <wp:posOffset>141605</wp:posOffset>
                      </wp:positionV>
                      <wp:extent cx="1275715" cy="304800"/>
                      <wp:effectExtent l="6350" t="6350" r="13335" b="12700"/>
                      <wp:wrapNone/>
                      <wp:docPr id="6" name="矩形 6"/>
                      <wp:cNvGraphicFramePr/>
                      <a:graphic xmlns:a="http://schemas.openxmlformats.org/drawingml/2006/main">
                        <a:graphicData uri="http://schemas.microsoft.com/office/word/2010/wordprocessingShape">
                          <wps:wsp>
                            <wps:cNvSpPr/>
                            <wps:spPr>
                              <a:xfrm>
                                <a:off x="5433060" y="1663065"/>
                                <a:ext cx="1275715" cy="304800"/>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11.15pt;height:24pt;width:100.45pt;z-index:251726848;v-text-anchor:middle;mso-width-relative:page;mso-height-relative:page;" fillcolor="#FFFFFF [3201]" filled="t" stroked="t" coordsize="21600,21600" o:gfxdata="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Gedeq2QAAAAkBAAAPAAAAAAAAAAEAIAAAACIAAABkcnMvZG93bnJldi54bWxQ&#10;SwECFAAUAAAACACHTuJAOcWwr2gCAAC/BAAADgAAAAAAAAABACAAAAAoAQAAZHJzL2Uyb0RvYy54&#10;bWxQSwUGAAAAAAYABgBZAQAAAgY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v:textbox>
                    </v:rect>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3326765</wp:posOffset>
                      </wp:positionH>
                      <wp:positionV relativeFrom="paragraph">
                        <wp:posOffset>132080</wp:posOffset>
                      </wp:positionV>
                      <wp:extent cx="476250" cy="304800"/>
                      <wp:effectExtent l="6350" t="6350" r="12700" b="12700"/>
                      <wp:wrapNone/>
                      <wp:docPr id="7" name="矩形 7"/>
                      <wp:cNvGraphicFramePr/>
                      <a:graphic xmlns:a="http://schemas.openxmlformats.org/drawingml/2006/main">
                        <a:graphicData uri="http://schemas.microsoft.com/office/word/2010/wordprocessingShape">
                          <wps:wsp>
                            <wps:cNvSpPr/>
                            <wps:spPr>
                              <a:xfrm>
                                <a:off x="4318635" y="1701165"/>
                                <a:ext cx="476250" cy="304800"/>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95pt;margin-top:10.4pt;height:24pt;width:37.5pt;z-index:251724800;v-text-anchor:middle;mso-width-relative:page;mso-height-relative:page;" fillcolor="#FFFFFF [3201]" filled="t" stroked="t" coordsize="21600,21600" o:gfxdata="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utkdgAAAAJAQAADwAAAAAAAAABACAAAAAiAAAAZHJzL2Rvd25yZXYueG1s&#10;UEsBAhQAFAAAAAgAh07iQEnyZrVqAgAAvgQAAA4AAAAAAAAAAQAgAAAAJwEAAGRycy9lMm9Eb2Mu&#10;eG1sUEsFBgAAAAAGAAYAWQEAAAM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固废</w:t>
                            </w:r>
                          </w:p>
                        </w:txbxContent>
                      </v:textbox>
                    </v:rect>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1278890</wp:posOffset>
                      </wp:positionH>
                      <wp:positionV relativeFrom="paragraph">
                        <wp:posOffset>93345</wp:posOffset>
                      </wp:positionV>
                      <wp:extent cx="1343025" cy="286385"/>
                      <wp:effectExtent l="6350" t="6350" r="22225" b="12065"/>
                      <wp:wrapNone/>
                      <wp:docPr id="8" name="矩形 8"/>
                      <wp:cNvGraphicFramePr/>
                      <a:graphic xmlns:a="http://schemas.openxmlformats.org/drawingml/2006/main">
                        <a:graphicData uri="http://schemas.microsoft.com/office/word/2010/wordprocessingShape">
                          <wps:wsp>
                            <wps:cNvSpPr/>
                            <wps:spPr>
                              <a:xfrm>
                                <a:off x="2261235" y="1596390"/>
                                <a:ext cx="1343025" cy="286385"/>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7pt;margin-top:7.35pt;height:22.55pt;width:105.75pt;z-index:251718656;v-text-anchor:middle;mso-width-relative:page;mso-height-relative:page;" fillcolor="#FFFFFF [3201]" filled="t" stroked="t" coordsize="21600,21600" o:gfxdata="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lvstkAAAAJAQAADwAAAAAAAAABACAAAAAiAAAAZHJzL2Rvd25yZXYueG1sUEsB&#10;AhQAFAAAAAgAh07iQA0NsyJmAgAAvwQAAA4AAAAAAAAAAQAgAAAAKAEAAGRycy9lMm9Eb2MueG1s&#10;UEsFBgAAAAAGAAYAWQEAAAA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v:textbox>
                    </v:rect>
                  </w:pict>
                </mc:Fallback>
              </mc:AlternateContent>
            </w:r>
          </w:p>
          <w:p>
            <w:pPr>
              <w:pStyle w:val="2"/>
              <w:rPr>
                <w:rFonts w:hint="default"/>
                <w:lang w:eastAsia="zh-CN"/>
              </w:rPr>
            </w:pPr>
          </w:p>
          <w:p>
            <w:pPr>
              <w:pStyle w:val="2"/>
              <w:rPr>
                <w:rFonts w:hint="default"/>
                <w:lang w:eastAsia="zh-CN"/>
              </w:rPr>
            </w:pPr>
            <w:r>
              <w:rPr>
                <w:sz w:val="24"/>
              </w:rPr>
              <mc:AlternateContent>
                <mc:Choice Requires="wps">
                  <w:drawing>
                    <wp:anchor distT="0" distB="0" distL="114300" distR="114300" simplePos="0" relativeHeight="251725824" behindDoc="0" locked="0" layoutInCell="1" allowOverlap="1">
                      <wp:simplePos x="0" y="0"/>
                      <wp:positionH relativeFrom="column">
                        <wp:posOffset>4955540</wp:posOffset>
                      </wp:positionH>
                      <wp:positionV relativeFrom="paragraph">
                        <wp:posOffset>95885</wp:posOffset>
                      </wp:positionV>
                      <wp:extent cx="0" cy="609600"/>
                      <wp:effectExtent l="38100" t="0" r="38100" b="0"/>
                      <wp:wrapNone/>
                      <wp:docPr id="36" name="直接箭头连接符 36"/>
                      <wp:cNvGraphicFramePr/>
                      <a:graphic xmlns:a="http://schemas.openxmlformats.org/drawingml/2006/main">
                        <a:graphicData uri="http://schemas.microsoft.com/office/word/2010/wordprocessingShape">
                          <wps:wsp>
                            <wps:cNvCnPr>
                              <a:stCxn id="45" idx="0"/>
                            </wps:cNvCnPr>
                            <wps:spPr>
                              <a:xfrm flipV="1">
                                <a:off x="5937885" y="1910715"/>
                                <a:ext cx="0" cy="609600"/>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90.2pt;margin-top:7.55pt;height:48pt;width:0pt;z-index:251725824;mso-width-relative:page;mso-height-relative:page;" filled="f" stroked="t" coordsize="21600,21600" o:gfxdata="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HqO1AAAAAoBAAAPAAAAAAAAAAEAIAAA&#10;ACIAAABkcnMvZG93bnJldi54bWxQSwECFAAUAAAACACHTuJAf0V8LhACAADUAwAADgAAAAAAAAAB&#10;ACAAAAAjAQAAZHJzL2Uyb0RvYy54bWxQSwUGAAAAAAYABgBZAQAApQUAAAAA&#10;">
                      <v:fill on="f" focussize="0,0"/>
                      <v:stroke weight="1pt" color="#000000 [3213]" miterlimit="8" joinstyle="miter" dashstyle="3 1" endarrow="block"/>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3564890</wp:posOffset>
                      </wp:positionH>
                      <wp:positionV relativeFrom="paragraph">
                        <wp:posOffset>95885</wp:posOffset>
                      </wp:positionV>
                      <wp:extent cx="635" cy="619125"/>
                      <wp:effectExtent l="38100" t="0" r="37465" b="9525"/>
                      <wp:wrapNone/>
                      <wp:docPr id="38" name="直接箭头连接符 38"/>
                      <wp:cNvGraphicFramePr/>
                      <a:graphic xmlns:a="http://schemas.openxmlformats.org/drawingml/2006/main">
                        <a:graphicData uri="http://schemas.microsoft.com/office/word/2010/wordprocessingShape">
                          <wps:wsp>
                            <wps:cNvCnPr>
                              <a:stCxn id="47" idx="0"/>
                            </wps:cNvCnPr>
                            <wps:spPr>
                              <a:xfrm flipH="1" flipV="1">
                                <a:off x="4547235" y="1910715"/>
                                <a:ext cx="635" cy="619125"/>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0.7pt;margin-top:7.55pt;height:48.75pt;width:0.05pt;z-index:251723776;mso-width-relative:page;mso-height-relative:page;" filled="f" stroked="t" coordsize="21600,21600" o:gfxdata="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KKhq7XAAAACgEAAA8AAAAA&#10;AAAAAQAgAAAAIgAAAGRycy9kb3ducmV2LnhtbFBLAQIUABQAAAAIAIdO4kC5eqKmFQIAAOADAAAO&#10;AAAAAAAAAAEAIAAAACYBAABkcnMvZTJvRG9jLnhtbFBLBQYAAAAABgAGAFkBAACtBQAAAAA=&#10;">
                      <v:fill on="f" focussize="0,0"/>
                      <v:stroke weight="1pt" color="#000000 [3213]" miterlimit="8" joinstyle="miter" dashstyle="3 1" endarrow="block"/>
                      <v:imagedata o:title=""/>
                      <o:lock v:ext="edit" aspectratio="f"/>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1936115</wp:posOffset>
                      </wp:positionH>
                      <wp:positionV relativeFrom="paragraph">
                        <wp:posOffset>31115</wp:posOffset>
                      </wp:positionV>
                      <wp:extent cx="1905" cy="350520"/>
                      <wp:effectExtent l="37465" t="0" r="36830" b="11430"/>
                      <wp:wrapNone/>
                      <wp:docPr id="40" name="直接箭头连接符 40"/>
                      <wp:cNvGraphicFramePr/>
                      <a:graphic xmlns:a="http://schemas.openxmlformats.org/drawingml/2006/main">
                        <a:graphicData uri="http://schemas.microsoft.com/office/word/2010/wordprocessingShape">
                          <wps:wsp>
                            <wps:cNvCnPr>
                              <a:stCxn id="42" idx="0"/>
                            </wps:cNvCnPr>
                            <wps:spPr>
                              <a:xfrm flipH="1" flipV="1">
                                <a:off x="2918460" y="1320165"/>
                                <a:ext cx="1905" cy="350520"/>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2.45pt;margin-top:2.45pt;height:27.6pt;width:0.15pt;z-index:251717632;mso-width-relative:page;mso-height-relative:page;" filled="f" stroked="t" coordsize="21600,21600" o:gfxdata="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0HgLXAAAACAEAAA8A&#10;AAAAAAAAAQAgAAAAIgAAAGRycy9kb3ducmV2LnhtbFBLAQIUABQAAAAIAIdO4kDo9gOAGAIAAOED&#10;AAAOAAAAAAAAAAEAIAAAACYBAABkcnMvZTJvRG9jLnhtbFBLBQYAAAAABgAGAFkBAACwBQAAAAA=&#10;">
                      <v:fill on="f" focussize="0,0"/>
                      <v:stroke weight="1pt" color="#000000 [3213]" miterlimit="8" joinstyle="miter" dashstyle="3 1" endarrow="block"/>
                      <v:imagedata o:title=""/>
                      <o:lock v:ext="edit" aspectratio="f"/>
                    </v:shape>
                  </w:pict>
                </mc:Fallback>
              </mc:AlternateContent>
            </w:r>
          </w:p>
          <w:p>
            <w:pPr>
              <w:pStyle w:val="2"/>
              <w:rPr>
                <w:rFonts w:hint="default"/>
                <w:lang w:eastAsia="zh-CN"/>
              </w:rPr>
            </w:pPr>
          </w:p>
          <w:p>
            <w:pPr>
              <w:pStyle w:val="2"/>
              <w:rPr>
                <w:rFonts w:hint="default"/>
                <w:lang w:eastAsia="zh-CN"/>
              </w:rPr>
            </w:pPr>
            <w:r>
              <w:rPr>
                <w:sz w:val="24"/>
              </w:rPr>
              <mc:AlternateContent>
                <mc:Choice Requires="wps">
                  <w:drawing>
                    <wp:anchor distT="0" distB="0" distL="114300" distR="114300" simplePos="0" relativeHeight="251716608" behindDoc="0" locked="0" layoutInCell="1" allowOverlap="1">
                      <wp:simplePos x="0" y="0"/>
                      <wp:positionH relativeFrom="column">
                        <wp:posOffset>1306830</wp:posOffset>
                      </wp:positionH>
                      <wp:positionV relativeFrom="paragraph">
                        <wp:posOffset>109855</wp:posOffset>
                      </wp:positionV>
                      <wp:extent cx="1257935" cy="293370"/>
                      <wp:effectExtent l="6350" t="6350" r="12065" b="24130"/>
                      <wp:wrapNone/>
                      <wp:docPr id="41" name="矩形 41"/>
                      <wp:cNvGraphicFramePr/>
                      <a:graphic xmlns:a="http://schemas.openxmlformats.org/drawingml/2006/main">
                        <a:graphicData uri="http://schemas.microsoft.com/office/word/2010/wordprocessingShape">
                          <wps:wsp>
                            <wps:cNvSpPr/>
                            <wps:spPr>
                              <a:xfrm>
                                <a:off x="2346960" y="1968500"/>
                                <a:ext cx="125793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冲、钻、车、攻丝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9pt;margin-top:8.65pt;height:23.1pt;width:99.05pt;z-index:251716608;v-text-anchor:middle;mso-width-relative:page;mso-height-relative:page;" fillcolor="#FFFFFF [3201]" filled="t" stroked="t" coordsize="21600,21600" o:gfxdata="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zOrfNYAAAAJAQAADwAAAAAAAAABACAAAAAiAAAAZHJzL2Rvd25yZXYueG1sUEsBAhQA&#10;FAAAAAgAh07iQHmZrnpmAgAAvwQAAA4AAAAAAAAAAQAgAAAAJQEAAGRycy9lMm9Eb2MueG1sUEsF&#10;BgAAAAAGAAYAWQEAAP0FAAAAAA==&#10;">
                      <v:fill on="t" focussize="0,0"/>
                      <v:stroke weight="1pt" color="#000000 [3213]" miterlimit="8" joinstyle="miter"/>
                      <v:imagedata o:title=""/>
                      <o:lock v:ext="edit" aspectratio="f"/>
                      <v:textbox>
                        <w:txbxContent>
                          <w:p>
                            <w:pPr>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冲、钻、车、攻丝</w:t>
                            </w:r>
                          </w:p>
                        </w:txbxContent>
                      </v:textbox>
                    </v:rect>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1271270</wp:posOffset>
                      </wp:positionH>
                      <wp:positionV relativeFrom="paragraph">
                        <wp:posOffset>31115</wp:posOffset>
                      </wp:positionV>
                      <wp:extent cx="1333500" cy="763905"/>
                      <wp:effectExtent l="6350" t="6350" r="12700" b="10795"/>
                      <wp:wrapNone/>
                      <wp:docPr id="42" name="矩形 42"/>
                      <wp:cNvGraphicFramePr/>
                      <a:graphic xmlns:a="http://schemas.openxmlformats.org/drawingml/2006/main">
                        <a:graphicData uri="http://schemas.microsoft.com/office/word/2010/wordprocessingShape">
                          <wps:wsp>
                            <wps:cNvSpPr/>
                            <wps:spPr>
                              <a:xfrm>
                                <a:off x="2272665" y="1880235"/>
                                <a:ext cx="1333500" cy="763905"/>
                              </a:xfrm>
                              <a:prstGeom prst="rect">
                                <a:avLst/>
                              </a:prstGeom>
                              <a:ln w="12700" cmpd="sng">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机加工</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100.1pt;margin-top:2.45pt;height:60.15pt;width:105pt;z-index:251715584;v-text-anchor:bottom;mso-width-relative:page;mso-height-relative:page;" fillcolor="#FFFFFF [3201]" filled="t" stroked="t" coordsize="21600,21600" o:gfxdata="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5CRTVAAAACQEAAA8AAAAAAAAAAQAgAAAAIgAAAGRycy9kb3ducmV2LnhtbFBLAQIU&#10;ABQAAAAIAIdO4kBqEbbwaAIAALwEAAAOAAAAAAAAAAEAIAAAACQBAABkcnMvZTJvRG9jLnhtbFBL&#10;BQYAAAAABgAGAFkBAAD+BQAAAAA=&#10;">
                      <v:fill on="t" focussize="0,0"/>
                      <v:stroke weight="1pt" color="#000000 [3213]" miterlimit="8" joinstyle="miter" dashstyle="dash"/>
                      <v:imagedata o:title=""/>
                      <o:lock v:ext="edit" aspectratio="f"/>
                      <v:textbox>
                        <w:txbxContent>
                          <w:p>
                            <w:pPr>
                              <w:jc w:val="center"/>
                              <w:rPr>
                                <w:rFonts w:hint="eastAsia" w:asciiTheme="minorEastAsia" w:hAnsiTheme="minorEastAsia" w:eastAsiaTheme="minorEastAsia" w:cstheme="minorEastAsia"/>
                                <w:sz w:val="21"/>
                                <w:szCs w:val="21"/>
                                <w:lang w:eastAsia="zh-CN"/>
                              </w:rPr>
                            </w:pP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机加工</w:t>
                            </w:r>
                          </w:p>
                        </w:txbxContent>
                      </v:textbox>
                    </v:rect>
                  </w:pict>
                </mc:Fallback>
              </mc:AlternateContent>
            </w:r>
          </w:p>
          <w:p>
            <w:pPr>
              <w:pStyle w:val="2"/>
              <w:rPr>
                <w:rFonts w:hint="default"/>
                <w:lang w:eastAsia="zh-CN"/>
              </w:rPr>
            </w:pPr>
            <w:r>
              <w:rPr>
                <w:sz w:val="24"/>
              </w:rPr>
              <mc:AlternateContent>
                <mc:Choice Requires="wps">
                  <w:drawing>
                    <wp:anchor distT="0" distB="0" distL="114300" distR="114300" simplePos="0" relativeHeight="251713536" behindDoc="0" locked="0" layoutInCell="1" allowOverlap="1">
                      <wp:simplePos x="0" y="0"/>
                      <wp:positionH relativeFrom="column">
                        <wp:posOffset>109220</wp:posOffset>
                      </wp:positionH>
                      <wp:positionV relativeFrom="paragraph">
                        <wp:posOffset>160655</wp:posOffset>
                      </wp:positionV>
                      <wp:extent cx="866775" cy="304800"/>
                      <wp:effectExtent l="4445" t="5080" r="5080" b="13970"/>
                      <wp:wrapNone/>
                      <wp:docPr id="43" name="文本框 43"/>
                      <wp:cNvGraphicFramePr/>
                      <a:graphic xmlns:a="http://schemas.openxmlformats.org/drawingml/2006/main">
                        <a:graphicData uri="http://schemas.microsoft.com/office/word/2010/wordprocessingShape">
                          <wps:wsp>
                            <wps:cNvSpPr txBox="1"/>
                            <wps:spPr>
                              <a:xfrm>
                                <a:off x="1282065" y="1318260"/>
                                <a:ext cx="86677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毛坯刚、铜</w:t>
                                  </w:r>
                                  <w:r>
                                    <w:rPr>
                                      <w:rFonts w:hint="eastAsia" w:asciiTheme="minorEastAsia" w:hAnsiTheme="minorEastAsia" w:eastAsiaTheme="minorEastAsia" w:cstheme="minorEastAsia"/>
                                      <w:sz w:val="21"/>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2.65pt;height:24pt;width:68.25pt;z-index:251713536;mso-width-relative:page;mso-height-relative:page;" fillcolor="#FFFFFF [3201]" filled="t" stroked="t" coordsize="21600,21600" o:gfxdata="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7ytr1AAAAAgBAAAPAAAAAAAAAAEAIAAA&#10;ACIAAABkcnMvZG93bnJldi54bWxQSwECFAAUAAAACACHTuJAHrzSSEkCAAB2BAAADgAAAAAAAAAB&#10;ACAAAAAjAQAAZHJzL2Uyb0RvYy54bWxQSwUGAAAAAAYABgBZAQAA3gUAAAAA&#10;">
                      <v:fill on="t" focussize="0,0"/>
                      <v:stroke weight="0.5pt" color="#000000 [3204]" joinstyle="round"/>
                      <v:imagedata o:title=""/>
                      <o:lock v:ext="edit" aspectratio="f"/>
                      <v:textbo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毛坯刚、铜</w:t>
                            </w:r>
                            <w:r>
                              <w:rPr>
                                <w:rFonts w:hint="eastAsia" w:asciiTheme="minorEastAsia" w:hAnsiTheme="minorEastAsia" w:eastAsiaTheme="minorEastAsia" w:cstheme="minorEastAsia"/>
                                <w:sz w:val="21"/>
                                <w:szCs w:val="21"/>
                                <w:lang w:val="en-US" w:eastAsia="zh-CN"/>
                              </w:rPr>
                              <w:t xml:space="preserve">      </w:t>
                            </w:r>
                          </w:p>
                        </w:txbxContent>
                      </v:textbox>
                    </v:shape>
                  </w:pict>
                </mc:Fallback>
              </mc:AlternateContent>
            </w:r>
          </w:p>
          <w:p>
            <w:pPr>
              <w:pStyle w:val="2"/>
              <w:rPr>
                <w:rFonts w:hint="default"/>
                <w:lang w:val="en-US" w:eastAsia="zh-CN"/>
              </w:rPr>
            </w:pPr>
            <w:r>
              <w:rPr>
                <w:sz w:val="24"/>
              </w:rPr>
              <mc:AlternateContent>
                <mc:Choice Requires="wps">
                  <w:drawing>
                    <wp:anchor distT="0" distB="0" distL="114300" distR="114300" simplePos="0" relativeHeight="251722752" behindDoc="0" locked="0" layoutInCell="1" allowOverlap="1">
                      <wp:simplePos x="0" y="0"/>
                      <wp:positionH relativeFrom="column">
                        <wp:posOffset>4412615</wp:posOffset>
                      </wp:positionH>
                      <wp:positionV relativeFrom="paragraph">
                        <wp:posOffset>4445</wp:posOffset>
                      </wp:positionV>
                      <wp:extent cx="1085215" cy="304800"/>
                      <wp:effectExtent l="6350" t="6350" r="13335" b="12700"/>
                      <wp:wrapNone/>
                      <wp:docPr id="45" name="矩形 45"/>
                      <wp:cNvGraphicFramePr/>
                      <a:graphic xmlns:a="http://schemas.openxmlformats.org/drawingml/2006/main">
                        <a:graphicData uri="http://schemas.microsoft.com/office/word/2010/wordprocessingShape">
                          <wps:wsp>
                            <wps:cNvSpPr/>
                            <wps:spPr>
                              <a:xfrm>
                                <a:off x="5394960" y="2510790"/>
                                <a:ext cx="108521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组装、焊接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45pt;margin-top:0.35pt;height:24pt;width:85.45pt;z-index:251722752;v-text-anchor:middle;mso-width-relative:page;mso-height-relative:page;" fillcolor="#FFFFFF [3201]" filled="t" stroked="t" coordsize="21600,21600" o:gfxdata="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6UwHTWAAAABwEAAA8AAAAAAAAAAQAgAAAAIgAAAGRycy9kb3ducmV2LnhtbFBL&#10;AQIUABQAAAAIAIdO4kA/BW+hagIAAL8EAAAOAAAAAAAAAAEAIAAAACUBAABkcnMvZTJvRG9jLnht&#10;bFBLBQYAAAAABgAGAFkBAAABBg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组装、焊接</w:t>
                            </w:r>
                          </w:p>
                        </w:txbxContent>
                      </v:textbox>
                    </v:rect>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4013200</wp:posOffset>
                      </wp:positionH>
                      <wp:positionV relativeFrom="paragraph">
                        <wp:posOffset>156845</wp:posOffset>
                      </wp:positionV>
                      <wp:extent cx="399415" cy="2540"/>
                      <wp:effectExtent l="0" t="37465" r="635" b="36195"/>
                      <wp:wrapNone/>
                      <wp:docPr id="46" name="直接箭头连接符 46"/>
                      <wp:cNvGraphicFramePr/>
                      <a:graphic xmlns:a="http://schemas.openxmlformats.org/drawingml/2006/main">
                        <a:graphicData uri="http://schemas.microsoft.com/office/word/2010/wordprocessingShape">
                          <wps:wsp>
                            <wps:cNvCnPr>
                              <a:stCxn id="47" idx="3"/>
                            </wps:cNvCnPr>
                            <wps:spPr>
                              <a:xfrm flipV="1">
                                <a:off x="4995545" y="2672715"/>
                                <a:ext cx="399415" cy="25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6pt;margin-top:12.35pt;height:0.2pt;width:31.45pt;z-index:251721728;mso-width-relative:page;mso-height-relative:page;" filled="f" stroked="t" coordsize="21600,21600" o:gfxdata="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Meq7ZAAAA&#10;CQEAAA8AAAAAAAAAAQAgAAAAIgAAAGRycy9kb3ducmV2LnhtbFBLAQIUABQAAAAIAIdO4kC7AGME&#10;HAIAAOYDAAAOAAAAAAAAAAEAIAAAACgBAABkcnMvZTJvRG9jLnhtbFBLBQYAAAAABgAGAFkBAAC2&#10;BQAAAAA=&#10;">
                      <v:fill on="f" focussize="0,0"/>
                      <v:stroke weight="0.5pt" color="#000000 [3200]"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3117215</wp:posOffset>
                      </wp:positionH>
                      <wp:positionV relativeFrom="paragraph">
                        <wp:posOffset>13970</wp:posOffset>
                      </wp:positionV>
                      <wp:extent cx="895985" cy="290195"/>
                      <wp:effectExtent l="6350" t="6350" r="12065" b="8255"/>
                      <wp:wrapNone/>
                      <wp:docPr id="47" name="矩形 47"/>
                      <wp:cNvGraphicFramePr/>
                      <a:graphic xmlns:a="http://schemas.openxmlformats.org/drawingml/2006/main">
                        <a:graphicData uri="http://schemas.microsoft.com/office/word/2010/wordprocessingShape">
                          <wps:wsp>
                            <wps:cNvSpPr/>
                            <wps:spPr>
                              <a:xfrm>
                                <a:off x="4147185" y="2225040"/>
                                <a:ext cx="895985" cy="2901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人工去毛刺</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245.45pt;margin-top:1.1pt;height:22.85pt;width:70.55pt;z-index:251720704;v-text-anchor:bottom;mso-width-relative:page;mso-height-relative:page;" fillcolor="#FFFFFF [3201]" filled="t" stroked="t" coordsize="21600,21600" o:gfxdata="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q95wNgAAAAIAQAADwAAAAAAAAABACAAAAAiAAAAZHJzL2Rvd25yZXYueG1sUEsBAhQA&#10;FAAAAAgAh07iQFA8JU1kAgAAvAQAAA4AAAAAAAAAAQAgAAAAJwEAAGRycy9lMm9Eb2MueG1sUEsF&#10;BgAAAAAGAAYAWQEAAP0FAAAAAA==&#10;">
                      <v:fill on="t" focussize="0,0"/>
                      <v:stroke weight="1pt" color="#000000 [3200]"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人工去毛刺</w:t>
                            </w:r>
                          </w:p>
                        </w:txbxContent>
                      </v:textbox>
                    </v:rect>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2604770</wp:posOffset>
                      </wp:positionH>
                      <wp:positionV relativeFrom="paragraph">
                        <wp:posOffset>156845</wp:posOffset>
                      </wp:positionV>
                      <wp:extent cx="512445" cy="1270"/>
                      <wp:effectExtent l="0" t="38100" r="1905" b="36830"/>
                      <wp:wrapNone/>
                      <wp:docPr id="48" name="直接箭头连接符 48"/>
                      <wp:cNvGraphicFramePr/>
                      <a:graphic xmlns:a="http://schemas.openxmlformats.org/drawingml/2006/main">
                        <a:graphicData uri="http://schemas.microsoft.com/office/word/2010/wordprocessingShape">
                          <wps:wsp>
                            <wps:cNvCnPr/>
                            <wps:spPr>
                              <a:xfrm flipV="1">
                                <a:off x="3587115" y="2577465"/>
                                <a:ext cx="512445" cy="1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1pt;margin-top:12.35pt;height:0.1pt;width:40.35pt;z-index:251719680;mso-width-relative:page;mso-height-relative:page;" filled="f" stroked="t" coordsize="21600,21600" o:gfxdata="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n8ZZ2AAAAAkBAAAPAAAAAAAAAAEAIAAAACIAAABkcnMv&#10;ZG93bnJldi54bWxQSwECFAAUAAAACACHTuJAwL418AMCAACtAwAADgAAAAAAAAABACAAAAAnAQAA&#10;ZHJzL2Uyb0RvYy54bWxQSwUGAAAAAAYABgBZAQAAn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975995</wp:posOffset>
                      </wp:positionH>
                      <wp:positionV relativeFrom="paragraph">
                        <wp:posOffset>137795</wp:posOffset>
                      </wp:positionV>
                      <wp:extent cx="295275" cy="0"/>
                      <wp:effectExtent l="0" t="38100" r="9525" b="38100"/>
                      <wp:wrapNone/>
                      <wp:docPr id="49" name="直接箭头连接符 49"/>
                      <wp:cNvGraphicFramePr/>
                      <a:graphic xmlns:a="http://schemas.openxmlformats.org/drawingml/2006/main">
                        <a:graphicData uri="http://schemas.microsoft.com/office/word/2010/wordprocessingShape">
                          <wps:wsp>
                            <wps:cNvCnPr>
                              <a:stCxn id="43" idx="3"/>
                            </wps:cNvCnPr>
                            <wps:spPr>
                              <a:xfrm>
                                <a:off x="1958340" y="2127885"/>
                                <a:ext cx="295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85pt;margin-top:10.85pt;height:0pt;width:23.25pt;z-index:251714560;mso-width-relative:page;mso-height-relative:page;" filled="f" stroked="t" coordsize="21600,21600" o:gfxdata="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53jstQAAAAJAQAADwAAAAAAAAABACAAAAAiAAAA&#10;ZHJzL2Rvd25yZXYueG1sUEsBAhQAFAAAAAgAh07iQF3wwoELAgAAxwMAAA4AAAAAAAAAAQAgAAAA&#10;IwEAAGRycy9lMm9Eb2MueG1sUEsFBgAAAAAGAAYAWQEAAKAFAAAAAA==&#10;">
                      <v:fill on="f" focussize="0,0"/>
                      <v:stroke weight="0.5pt" color="#000000 [3213]" miterlimit="8" joinstyle="miter" endarrow="block"/>
                      <v:imagedata o:title=""/>
                      <o:lock v:ext="edit" aspectratio="f"/>
                    </v:shape>
                  </w:pict>
                </mc:Fallback>
              </mc:AlternateContent>
            </w:r>
            <w:r>
              <w:rPr>
                <w:rFonts w:hint="eastAsia"/>
                <w:lang w:val="en-US" w:eastAsia="zh-CN"/>
              </w:rPr>
              <w:t xml:space="preserve">                 </w:t>
            </w:r>
          </w:p>
          <w:p>
            <w:pPr>
              <w:pStyle w:val="2"/>
              <w:rPr>
                <w:rFonts w:hint="default"/>
                <w:lang w:eastAsia="zh-CN"/>
              </w:rPr>
            </w:pPr>
            <w:r>
              <w:rPr>
                <w:sz w:val="24"/>
              </w:rPr>
              <mc:AlternateContent>
                <mc:Choice Requires="wps">
                  <w:drawing>
                    <wp:anchor distT="0" distB="0" distL="114300" distR="114300" simplePos="0" relativeHeight="251727872" behindDoc="0" locked="0" layoutInCell="1" allowOverlap="1">
                      <wp:simplePos x="0" y="0"/>
                      <wp:positionH relativeFrom="column">
                        <wp:posOffset>4955540</wp:posOffset>
                      </wp:positionH>
                      <wp:positionV relativeFrom="paragraph">
                        <wp:posOffset>133985</wp:posOffset>
                      </wp:positionV>
                      <wp:extent cx="9525" cy="609600"/>
                      <wp:effectExtent l="29845" t="0" r="36830" b="0"/>
                      <wp:wrapNone/>
                      <wp:docPr id="50" name="直接箭头连接符 50"/>
                      <wp:cNvGraphicFramePr/>
                      <a:graphic xmlns:a="http://schemas.openxmlformats.org/drawingml/2006/main">
                        <a:graphicData uri="http://schemas.microsoft.com/office/word/2010/wordprocessingShape">
                          <wps:wsp>
                            <wps:cNvCnPr>
                              <a:stCxn id="45" idx="2"/>
                            </wps:cNvCnPr>
                            <wps:spPr>
                              <a:xfrm>
                                <a:off x="5937885" y="2825115"/>
                                <a:ext cx="9525"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0.2pt;margin-top:10.55pt;height:48pt;width:0.75pt;z-index:251727872;mso-width-relative:page;mso-height-relative:page;" filled="f" stroked="t" coordsize="21600,21600" o:gfxdata="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9Yj31wAAAAoBAAAPAAAAAAAAAAEAIAAAACIA&#10;AABkcnMvZG93bnJldi54bWxQSwECFAAUAAAACACHTuJAZOHYqAoCAADKAwAADgAAAAAAAAABACAA&#10;AAAmAQAAZHJzL2Uyb0RvYy54bWxQSwUGAAAAAAYABgBZAQAAogUAAAAA&#10;">
                      <v:fill on="f" focussize="0,0"/>
                      <v:stroke weight="0.5pt" color="#000000 [3213]" miterlimit="8" joinstyle="miter" endarrow="block"/>
                      <v:imagedata o:title=""/>
                      <o:lock v:ext="edit" aspectratio="f"/>
                    </v:shape>
                  </w:pict>
                </mc:Fallback>
              </mc:AlternateContent>
            </w:r>
          </w:p>
          <w:p>
            <w:pPr>
              <w:pStyle w:val="2"/>
              <w:rPr>
                <w:rFonts w:hint="default"/>
                <w:lang w:eastAsia="zh-CN"/>
              </w:rPr>
            </w:pPr>
          </w:p>
          <w:p>
            <w:pPr>
              <w:spacing w:before="62" w:beforeLines="20" w:line="360" w:lineRule="auto"/>
              <w:rPr>
                <w:rFonts w:hint="eastAsia" w:ascii="宋体" w:hAnsi="宋体" w:eastAsia="宋体"/>
                <w:color w:val="000000"/>
                <w:sz w:val="21"/>
                <w:szCs w:val="21"/>
                <w:lang w:val="en-US" w:eastAsia="zh-CN"/>
              </w:rPr>
            </w:pPr>
            <w:r>
              <w:rPr>
                <w:sz w:val="21"/>
              </w:rPr>
              <mc:AlternateContent>
                <mc:Choice Requires="wps">
                  <w:drawing>
                    <wp:anchor distT="0" distB="0" distL="114300" distR="114300" simplePos="0" relativeHeight="251735040" behindDoc="0" locked="0" layoutInCell="1" allowOverlap="1">
                      <wp:simplePos x="0" y="0"/>
                      <wp:positionH relativeFrom="column">
                        <wp:posOffset>1536065</wp:posOffset>
                      </wp:positionH>
                      <wp:positionV relativeFrom="paragraph">
                        <wp:posOffset>384175</wp:posOffset>
                      </wp:positionV>
                      <wp:extent cx="876300" cy="304165"/>
                      <wp:effectExtent l="6350" t="6350" r="12700" b="13335"/>
                      <wp:wrapNone/>
                      <wp:docPr id="51" name="矩形 51"/>
                      <wp:cNvGraphicFramePr/>
                      <a:graphic xmlns:a="http://schemas.openxmlformats.org/drawingml/2006/main">
                        <a:graphicData uri="http://schemas.microsoft.com/office/word/2010/wordprocessingShape">
                          <wps:wsp>
                            <wps:cNvSpPr/>
                            <wps:spPr>
                              <a:xfrm>
                                <a:off x="2766060" y="3453765"/>
                                <a:ext cx="876300" cy="3041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合格入库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95pt;margin-top:30.25pt;height:23.95pt;width:69pt;z-index:251735040;v-text-anchor:middle;mso-width-relative:page;mso-height-relative:page;" fillcolor="#FFFFFF [3201]" filled="t" stroked="t" coordsize="21600,21600" o:gfxdata="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xUJ6Q1wAAAAoBAAAPAAAAAAAAAAEAIAAAACIAAABkcnMvZG93bnJldi54bWxQSwECFAAU&#10;AAAACACHTuJAUCaFo2QCAAC+BAAADgAAAAAAAAABACAAAAAmAQAAZHJzL2Uyb0RvYy54bWxQSwUG&#10;AAAAAAYABgBZAQAA/AU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合格入库</w:t>
                            </w:r>
                          </w:p>
                        </w:txbxContent>
                      </v:textbox>
                    </v:rect>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2412365</wp:posOffset>
                      </wp:positionH>
                      <wp:positionV relativeFrom="paragraph">
                        <wp:posOffset>535940</wp:posOffset>
                      </wp:positionV>
                      <wp:extent cx="381000" cy="4445"/>
                      <wp:effectExtent l="0" t="37465" r="0" b="34290"/>
                      <wp:wrapNone/>
                      <wp:docPr id="52" name="直接箭头连接符 52"/>
                      <wp:cNvGraphicFramePr/>
                      <a:graphic xmlns:a="http://schemas.openxmlformats.org/drawingml/2006/main">
                        <a:graphicData uri="http://schemas.microsoft.com/office/word/2010/wordprocessingShape">
                          <wps:wsp>
                            <wps:cNvCnPr>
                              <a:stCxn id="55" idx="1"/>
                            </wps:cNvCnPr>
                            <wps:spPr>
                              <a:xfrm flipH="1" flipV="1">
                                <a:off x="3394710" y="3577590"/>
                                <a:ext cx="381000"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9.95pt;margin-top:42.2pt;height:0.35pt;width:30pt;z-index:251734016;mso-width-relative:page;mso-height-relative:page;" filled="f" stroked="t" coordsize="21600,21600" o:gfxdata="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6Hsp2AAAAAkBAAAPAAAAAAAA&#10;AAEAIAAAACIAAABkcnMvZG93bnJldi54bWxQSwECFAAUAAAACACHTuJA5lY4vRICAADeAwAADgAA&#10;AAAAAAABACAAAAAnAQAAZHJzL2Uyb0RvYy54bWxQSwUGAAAAAAYABgBZAQAAqw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2974340</wp:posOffset>
                      </wp:positionH>
                      <wp:positionV relativeFrom="paragraph">
                        <wp:posOffset>993140</wp:posOffset>
                      </wp:positionV>
                      <wp:extent cx="504825" cy="276225"/>
                      <wp:effectExtent l="6350" t="6350" r="22225" b="22225"/>
                      <wp:wrapNone/>
                      <wp:docPr id="53" name="矩形 53"/>
                      <wp:cNvGraphicFramePr/>
                      <a:graphic xmlns:a="http://schemas.openxmlformats.org/drawingml/2006/main">
                        <a:graphicData uri="http://schemas.microsoft.com/office/word/2010/wordprocessingShape">
                          <wps:wsp>
                            <wps:cNvSpPr/>
                            <wps:spPr>
                              <a:xfrm>
                                <a:off x="3899535" y="4034790"/>
                                <a:ext cx="504825" cy="276225"/>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w:t>
                                  </w: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2pt;margin-top:78.2pt;height:21.75pt;width:39.75pt;z-index:251732992;v-text-anchor:middle;mso-width-relative:page;mso-height-relative:page;" fillcolor="#FFFFFF [3201]" filled="t" stroked="t" coordsize="21600,21600" o:gfxdata="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igZdoAAAALAQAADwAAAAAAAAABACAAAAAiAAAAZHJzL2Rvd25yZXYueG1s&#10;UEsBAhQAFAAAAAgAh07iQIVKPVtoAgAAwAQAAA4AAAAAAAAAAQAgAAAAKQEAAGRycy9lMm9Eb2Mu&#10;eG1sUEsFBgAAAAAGAAYAWQEAAAM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w:t>
                            </w: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lang w:eastAsia="zh-CN"/>
                              </w:rPr>
                            </w:pPr>
                          </w:p>
                        </w:txbxContent>
                      </v:textbox>
                    </v:rect>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3241040</wp:posOffset>
                      </wp:positionH>
                      <wp:positionV relativeFrom="paragraph">
                        <wp:posOffset>678815</wp:posOffset>
                      </wp:positionV>
                      <wp:extent cx="0" cy="333375"/>
                      <wp:effectExtent l="38100" t="0" r="38100" b="9525"/>
                      <wp:wrapNone/>
                      <wp:docPr id="54" name="直接箭头连接符 54"/>
                      <wp:cNvGraphicFramePr/>
                      <a:graphic xmlns:a="http://schemas.openxmlformats.org/drawingml/2006/main">
                        <a:graphicData uri="http://schemas.microsoft.com/office/word/2010/wordprocessingShape">
                          <wps:wsp>
                            <wps:cNvCnPr>
                              <a:stCxn id="55" idx="2"/>
                            </wps:cNvCnPr>
                            <wps:spPr>
                              <a:xfrm>
                                <a:off x="4223385" y="3720465"/>
                                <a:ext cx="0" cy="333375"/>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2pt;margin-top:53.45pt;height:26.25pt;width:0pt;z-index:251731968;mso-width-relative:page;mso-height-relative:page;" filled="f" stroked="t" coordsize="21600,21600" o:gfxdata="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8W6D2QAAAAsBAAAPAAAAAAAAAAEAIAAAACIA&#10;AABkcnMvZG93bnJldi54bWxQSwECFAAUAAAACACHTuJATVOofAgCAADKAwAADgAAAAAAAAABACAA&#10;AAAoAQAAZHJzL2Uyb0RvYy54bWxQSwUGAAAAAAYABgBZAQAAogUAAAAA&#10;">
                      <v:fill on="f" focussize="0,0"/>
                      <v:stroke weight="1pt" color="#000000 [3213]" miterlimit="8" joinstyle="miter" dashstyle="3 1" endarrow="block"/>
                      <v:imagedata o:title=""/>
                      <o:lock v:ext="edit" aspectratio="f"/>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2793365</wp:posOffset>
                      </wp:positionH>
                      <wp:positionV relativeFrom="paragraph">
                        <wp:posOffset>401320</wp:posOffset>
                      </wp:positionV>
                      <wp:extent cx="895350" cy="277495"/>
                      <wp:effectExtent l="6350" t="6350" r="12700" b="20955"/>
                      <wp:wrapNone/>
                      <wp:docPr id="55" name="矩形 55"/>
                      <wp:cNvGraphicFramePr/>
                      <a:graphic xmlns:a="http://schemas.openxmlformats.org/drawingml/2006/main">
                        <a:graphicData uri="http://schemas.microsoft.com/office/word/2010/wordprocessingShape">
                          <wps:wsp>
                            <wps:cNvSpPr/>
                            <wps:spPr>
                              <a:xfrm>
                                <a:off x="4013835" y="3425190"/>
                                <a:ext cx="895350" cy="2774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装配检验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5pt;margin-top:31.6pt;height:21.85pt;width:70.5pt;z-index:251730944;v-text-anchor:middle;mso-width-relative:page;mso-height-relative:page;" fillcolor="#FFFFFF [3201]" filled="t" stroked="t" coordsize="21600,21600" o:gfxdata="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gt1yh1wAAAAoBAAAPAAAAAAAAAAEAIAAAACIAAABkcnMvZG93bnJldi54bWxQSwEC&#10;FAAUAAAACACHTuJAwMCJ7mcCAAC+BAAADgAAAAAAAAABACAAAAAmAQAAZHJzL2Uyb0RvYy54bWxQ&#10;SwUGAAAAAAYABgBZAQAA/wUAAAAA&#10;">
                      <v:fill on="t" focussize="0,0"/>
                      <v:stroke weight="1pt" color="#000000 [3200]"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装配检验</w:t>
                            </w:r>
                          </w:p>
                        </w:txbxContent>
                      </v:textbox>
                    </v:rect>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3688715</wp:posOffset>
                      </wp:positionH>
                      <wp:positionV relativeFrom="paragraph">
                        <wp:posOffset>535940</wp:posOffset>
                      </wp:positionV>
                      <wp:extent cx="581025" cy="5715"/>
                      <wp:effectExtent l="0" t="37465" r="9525" b="33020"/>
                      <wp:wrapNone/>
                      <wp:docPr id="56" name="直接箭头连接符 56"/>
                      <wp:cNvGraphicFramePr/>
                      <a:graphic xmlns:a="http://schemas.openxmlformats.org/drawingml/2006/main">
                        <a:graphicData uri="http://schemas.microsoft.com/office/word/2010/wordprocessingShape">
                          <wps:wsp>
                            <wps:cNvCnPr>
                              <a:stCxn id="57" idx="1"/>
                            </wps:cNvCnPr>
                            <wps:spPr>
                              <a:xfrm flipH="1" flipV="1">
                                <a:off x="4890135" y="3577590"/>
                                <a:ext cx="581025"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0.45pt;margin-top:42.2pt;height:0.45pt;width:45.75pt;z-index:251729920;mso-width-relative:page;mso-height-relative:page;" filled="f" stroked="t" coordsize="21600,21600" o:gfxdata="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U+pP2AAAAAkBAAAPAAAA&#10;AAAAAAEAIAAAACIAAABkcnMvZG93bnJldi54bWxQSwECFAAUAAAACACHTuJAo0qQdhUCAADeAwAA&#10;DgAAAAAAAAABACAAAAAnAQAAZHJzL2Uyb0RvYy54bWxQSwUGAAAAAAYABgBZAQAArg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4269740</wp:posOffset>
                      </wp:positionH>
                      <wp:positionV relativeFrom="paragraph">
                        <wp:posOffset>402590</wp:posOffset>
                      </wp:positionV>
                      <wp:extent cx="1342390" cy="277495"/>
                      <wp:effectExtent l="6350" t="6350" r="22860" b="20955"/>
                      <wp:wrapNone/>
                      <wp:docPr id="57" name="矩形 57"/>
                      <wp:cNvGraphicFramePr/>
                      <a:graphic xmlns:a="http://schemas.openxmlformats.org/drawingml/2006/main">
                        <a:graphicData uri="http://schemas.microsoft.com/office/word/2010/wordprocessingShape">
                          <wps:wsp>
                            <wps:cNvSpPr/>
                            <wps:spPr>
                              <a:xfrm>
                                <a:off x="5947410" y="3444240"/>
                                <a:ext cx="1342390" cy="277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光饰、电镀（外协）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2pt;margin-top:31.7pt;height:21.85pt;width:105.7pt;z-index:251728896;v-text-anchor:middle;mso-width-relative:page;mso-height-relative:page;" fillcolor="#FFFFFF [3201]" filled="t" stroked="t" coordsize="21600,21600" o:gfxdata="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KBsO1gAAAAoBAAAPAAAAAAAAAAEAIAAAACIAAABkcnMvZG93bnJldi54bWxQSwECFAAU&#10;AAAACACHTuJAijBACWUCAAC/BAAADgAAAAAAAAABACAAAAAlAQAAZHJzL2Uyb0RvYy54bWxQSwUG&#10;AAAAAAYABgBZAQAA/AU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光饰、电镀（外协）</w:t>
                            </w:r>
                          </w:p>
                        </w:txbxContent>
                      </v:textbox>
                    </v:rect>
                  </w:pict>
                </mc:Fallback>
              </mc:AlternateContent>
            </w:r>
            <w:r>
              <w:rPr>
                <w:rFonts w:hint="eastAsia" w:ascii="宋体" w:hAnsi="宋体" w:eastAsia="宋体"/>
                <w:color w:val="000000"/>
                <w:sz w:val="21"/>
                <w:szCs w:val="21"/>
                <w:lang w:val="en-US" w:eastAsia="zh-CN"/>
              </w:rPr>
              <w:t xml:space="preserve">          </w:t>
            </w:r>
          </w:p>
          <w:p>
            <w:pPr>
              <w:spacing w:before="62" w:beforeLines="20" w:line="360" w:lineRule="auto"/>
              <w:rPr>
                <w:rFonts w:hint="eastAsia" w:ascii="宋体" w:hAnsi="宋体" w:eastAsia="宋体"/>
                <w:color w:val="000000"/>
                <w:sz w:val="21"/>
                <w:szCs w:val="21"/>
                <w:lang w:val="en-US" w:eastAsia="zh-CN"/>
              </w:rPr>
            </w:pPr>
          </w:p>
          <w:p>
            <w:pPr>
              <w:spacing w:before="62" w:beforeLines="20" w:line="360" w:lineRule="auto"/>
              <w:rPr>
                <w:rFonts w:hint="eastAsia" w:ascii="宋体" w:hAnsi="宋体" w:eastAsia="宋体"/>
                <w:color w:val="000000"/>
                <w:sz w:val="21"/>
                <w:szCs w:val="21"/>
                <w:lang w:val="en-US" w:eastAsia="zh-CN"/>
              </w:rPr>
            </w:pPr>
          </w:p>
          <w:p>
            <w:pPr>
              <w:spacing w:before="62" w:beforeLines="20" w:line="360" w:lineRule="auto"/>
              <w:rPr>
                <w:rFonts w:hint="eastAsia" w:ascii="宋体" w:hAnsi="宋体" w:eastAsia="宋体"/>
                <w:color w:val="000000"/>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lang w:val="en-US" w:eastAsia="zh-CN"/>
              </w:rPr>
            </w:pPr>
            <w:r>
              <w:rPr>
                <w:rFonts w:hint="eastAsia" w:asciiTheme="minorEastAsia" w:hAnsiTheme="minorEastAsia" w:eastAsiaTheme="minorEastAsia" w:cstheme="minorEastAsia"/>
                <w:b/>
                <w:bCs/>
                <w:sz w:val="24"/>
                <w:szCs w:val="24"/>
                <w:lang w:val="en-US" w:eastAsia="zh-CN"/>
              </w:rPr>
              <w:t>工艺流程说明：</w:t>
            </w: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宋体" w:hAnsi="宋体" w:eastAsia="宋体"/>
                <w:color w:val="000000"/>
                <w:sz w:val="21"/>
                <w:szCs w:val="21"/>
                <w:lang w:val="en-US"/>
              </w:rPr>
            </w:pPr>
            <w:r>
              <w:rPr>
                <w:rFonts w:hint="eastAsia" w:asciiTheme="minorEastAsia" w:hAnsiTheme="minorEastAsia" w:eastAsiaTheme="minorEastAsia" w:cstheme="minorEastAsia"/>
                <w:sz w:val="24"/>
                <w:szCs w:val="24"/>
                <w:lang w:val="en-US" w:eastAsia="zh-CN"/>
              </w:rPr>
              <w:t>原料（毛坯钢、铜）经过一系列的冲、钻、压、车、攻丝等机加工工序后，人工去除毛刺，再通过焊接、组装，最后进行光饰（外协）、电镀（外协）、装配检验合格后即为入库成品。</w:t>
            </w:r>
            <w:r>
              <w:rPr>
                <w:rFonts w:hint="eastAsia"/>
                <w:lang w:val="en-US" w:eastAsia="zh-CN"/>
              </w:rPr>
              <w:t xml:space="preserve">           </w:t>
            </w:r>
            <w:r>
              <w:rPr>
                <w:rFonts w:hint="eastAsia" w:ascii="宋体" w:hAnsi="宋体" w:eastAsia="宋体"/>
                <w:color w:val="000000"/>
                <w:sz w:val="21"/>
                <w:szCs w:val="21"/>
                <w:lang w:val="en-US" w:eastAsia="zh-CN"/>
              </w:rPr>
              <w:t xml:space="preserve">                                                                  </w:t>
            </w:r>
          </w:p>
        </w:tc>
      </w:tr>
    </w:tbl>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三</w:t>
      </w:r>
      <w:r>
        <w:rPr>
          <w:rFonts w:hint="eastAsia" w:asciiTheme="minorEastAsia" w:hAnsiTheme="minorEastAsia" w:eastAsiaTheme="minorEastAsia" w:cstheme="minorEastAsia"/>
          <w:b/>
          <w:color w:val="000000"/>
          <w:sz w:val="32"/>
          <w:szCs w:val="32"/>
          <w:lang w:eastAsia="zh-CN"/>
        </w:rPr>
        <w:t>、</w:t>
      </w:r>
      <w:r>
        <w:rPr>
          <w:rFonts w:hint="eastAsia" w:asciiTheme="minorEastAsia" w:hAnsiTheme="minorEastAsia" w:eastAsiaTheme="minorEastAsia" w:cstheme="minorEastAsia"/>
          <w:b/>
          <w:color w:val="000000"/>
          <w:sz w:val="32"/>
          <w:szCs w:val="32"/>
        </w:rPr>
        <w:t>污染</w:t>
      </w:r>
      <w:r>
        <w:rPr>
          <w:rFonts w:hint="eastAsia" w:asciiTheme="minorEastAsia" w:hAnsiTheme="minorEastAsia" w:eastAsiaTheme="minorEastAsia" w:cstheme="minorEastAsia"/>
          <w:b/>
          <w:color w:val="000000"/>
          <w:sz w:val="32"/>
          <w:szCs w:val="32"/>
          <w:lang w:eastAsia="zh-CN"/>
        </w:rPr>
        <w:t>物</w:t>
      </w:r>
      <w:r>
        <w:rPr>
          <w:rFonts w:hint="eastAsia" w:asciiTheme="minorEastAsia" w:hAnsiTheme="minorEastAsia" w:eastAsiaTheme="minorEastAsia" w:cstheme="minorEastAsia"/>
          <w:b/>
          <w:color w:val="000000"/>
          <w:sz w:val="32"/>
          <w:szCs w:val="32"/>
        </w:rPr>
        <w:t>的排放与防治措施</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5"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40" w:lineRule="exact"/>
              <w:textAlignment w:val="auto"/>
              <w:outlineLvl w:val="9"/>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1</w:t>
            </w:r>
            <w:r>
              <w:rPr>
                <w:rFonts w:hint="default" w:ascii="Times New Roman" w:hAnsi="Times New Roman" w:eastAsia="宋体" w:cs="Times New Roman"/>
                <w:b/>
                <w:bCs/>
                <w:color w:val="000000"/>
                <w:sz w:val="24"/>
                <w:szCs w:val="24"/>
                <w:lang w:val="en-US" w:eastAsia="zh-CN" w:bidi="ar-SA"/>
              </w:rPr>
              <w:t xml:space="preserve">、噪声 </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textAlignment w:val="auto"/>
              <w:outlineLvl w:val="9"/>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项目主要噪声来源于生产设备运行时产生的噪声。</w:t>
            </w:r>
            <w:r>
              <w:rPr>
                <w:rFonts w:hint="default" w:ascii="Times New Roman" w:hAnsi="Times New Roman" w:eastAsia="宋体" w:cs="Times New Roman"/>
                <w:b w:val="0"/>
                <w:color w:val="000000"/>
                <w:sz w:val="24"/>
                <w:szCs w:val="24"/>
                <w:lang w:val="en-US" w:eastAsia="zh-CN" w:bidi="ar-SA"/>
              </w:rPr>
              <w:t>该项目主要声源均设置在密闭房间内，以减少噪声的污染。</w:t>
            </w:r>
          </w:p>
          <w:p>
            <w:pPr>
              <w:keepNext w:val="0"/>
              <w:keepLines w:val="0"/>
              <w:pageBreakBefore w:val="0"/>
              <w:widowControl/>
              <w:kinsoku/>
              <w:wordWrap/>
              <w:overflowPunct/>
              <w:topLinePunct w:val="0"/>
              <w:autoSpaceDE/>
              <w:autoSpaceDN/>
              <w:bidi w:val="0"/>
              <w:adjustRightInd w:val="0"/>
              <w:snapToGrid w:val="0"/>
              <w:spacing w:after="0" w:line="440" w:lineRule="exact"/>
              <w:textAlignment w:val="auto"/>
              <w:outlineLvl w:val="9"/>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2</w:t>
            </w:r>
            <w:r>
              <w:rPr>
                <w:rFonts w:hint="default" w:ascii="Times New Roman" w:hAnsi="Times New Roman" w:eastAsia="宋体" w:cs="Times New Roman"/>
                <w:b/>
                <w:bCs/>
                <w:color w:val="000000"/>
                <w:sz w:val="24"/>
                <w:szCs w:val="24"/>
                <w:lang w:val="en-US" w:eastAsia="zh-CN" w:bidi="ar-SA"/>
              </w:rPr>
              <w:t xml:space="preserve">、固体废物 </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textAlignment w:val="auto"/>
              <w:outlineLvl w:val="9"/>
              <w:rPr>
                <w:rFonts w:eastAsia="仿宋_GB2312"/>
                <w:color w:val="000000"/>
                <w:sz w:val="21"/>
                <w:szCs w:val="21"/>
              </w:rPr>
            </w:pPr>
            <w:r>
              <w:rPr>
                <w:rFonts w:hint="default" w:ascii="Times New Roman" w:hAnsi="Times New Roman" w:eastAsia="宋体" w:cs="Times New Roman"/>
                <w:b w:val="0"/>
                <w:color w:val="000000"/>
                <w:sz w:val="24"/>
                <w:szCs w:val="24"/>
                <w:lang w:val="en-US" w:eastAsia="zh-CN" w:bidi="ar-SA"/>
              </w:rPr>
              <w:t>该项目</w:t>
            </w:r>
            <w:r>
              <w:rPr>
                <w:rFonts w:hint="eastAsia" w:ascii="Times New Roman" w:hAnsi="Times New Roman" w:eastAsia="宋体" w:cs="Times New Roman"/>
                <w:b w:val="0"/>
                <w:color w:val="000000"/>
                <w:sz w:val="24"/>
                <w:szCs w:val="24"/>
                <w:lang w:val="en-US" w:eastAsia="zh-CN" w:bidi="ar-SA"/>
              </w:rPr>
              <w:t>产生的固废主要为</w:t>
            </w:r>
            <w:r>
              <w:rPr>
                <w:rFonts w:hint="default" w:ascii="Times New Roman" w:hAnsi="Times New Roman" w:eastAsia="宋体" w:cs="Times New Roman"/>
                <w:b w:val="0"/>
                <w:color w:val="000000"/>
                <w:sz w:val="24"/>
                <w:szCs w:val="24"/>
                <w:lang w:val="en-US" w:eastAsia="zh-CN" w:bidi="ar-SA"/>
              </w:rPr>
              <w:t>生活垃圾、</w:t>
            </w:r>
            <w:r>
              <w:rPr>
                <w:rFonts w:hint="eastAsia" w:ascii="Times New Roman" w:hAnsi="Times New Roman" w:eastAsia="宋体" w:cs="Times New Roman"/>
                <w:b w:val="0"/>
                <w:color w:val="000000"/>
                <w:sz w:val="24"/>
                <w:szCs w:val="24"/>
                <w:lang w:val="en-US" w:eastAsia="zh-CN" w:bidi="ar-SA"/>
              </w:rPr>
              <w:t>金属边角料、废乳化液</w:t>
            </w:r>
            <w:r>
              <w:rPr>
                <w:rFonts w:hint="default" w:ascii="Times New Roman" w:hAnsi="Times New Roman" w:eastAsia="宋体" w:cs="Times New Roman"/>
                <w:b w:val="0"/>
                <w:color w:val="000000"/>
                <w:sz w:val="24"/>
                <w:szCs w:val="24"/>
                <w:lang w:val="en-US" w:eastAsia="zh-CN" w:bidi="ar-SA"/>
              </w:rPr>
              <w:t>。该项目已针对危险固废设置1间危险固废仓库，为密闭单间，防风防雨，地面硬化处理，门口上锁并黏贴危废贮存场所标志牌及周知卡。该公司产生的危险固废委托资质单位代为处置。该公司对危险废物贮存设施的选址、设计、运行等基本符合（GB</w:t>
            </w:r>
            <w:r>
              <w:rPr>
                <w:rFonts w:hint="eastAsia" w:ascii="Times New Roman" w:hAnsi="Times New Roman" w:eastAsia="宋体" w:cs="Times New Roman"/>
                <w:b w:val="0"/>
                <w:color w:val="000000"/>
                <w:sz w:val="24"/>
                <w:szCs w:val="24"/>
                <w:lang w:val="en-US" w:eastAsia="zh-CN" w:bidi="ar-SA"/>
              </w:rPr>
              <w:t xml:space="preserve"> </w:t>
            </w:r>
            <w:r>
              <w:rPr>
                <w:rFonts w:hint="default" w:ascii="Times New Roman" w:hAnsi="Times New Roman" w:eastAsia="宋体" w:cs="Times New Roman"/>
                <w:b w:val="0"/>
                <w:color w:val="000000"/>
                <w:sz w:val="24"/>
                <w:szCs w:val="24"/>
                <w:lang w:val="en-US" w:eastAsia="zh-CN" w:bidi="ar-SA"/>
              </w:rPr>
              <w:t>18597-2001）《危险废物贮存污染控制标准》要求。该项目一般固废生活垃圾在厂区内设置多个室外塑料垃圾桶，由环卫部门定期清运。</w:t>
            </w:r>
            <w:r>
              <w:rPr>
                <w:rFonts w:hint="eastAsia" w:ascii="Times New Roman" w:hAnsi="Times New Roman" w:eastAsia="宋体" w:cs="Times New Roman"/>
                <w:b w:val="0"/>
                <w:color w:val="000000"/>
                <w:sz w:val="24"/>
                <w:szCs w:val="24"/>
                <w:lang w:val="en-US" w:eastAsia="zh-CN" w:bidi="ar-SA"/>
              </w:rPr>
              <w:t>金属边角料厂内收集后</w:t>
            </w:r>
            <w:r>
              <w:rPr>
                <w:rFonts w:hint="default" w:ascii="Times New Roman" w:hAnsi="Times New Roman" w:eastAsia="宋体" w:cs="Times New Roman"/>
                <w:b w:val="0"/>
                <w:color w:val="000000"/>
                <w:sz w:val="24"/>
                <w:szCs w:val="24"/>
                <w:lang w:val="en-US" w:eastAsia="zh-CN" w:bidi="ar-SA"/>
              </w:rPr>
              <w:t>外售综合利用。</w:t>
            </w:r>
          </w:p>
        </w:tc>
      </w:tr>
    </w:tbl>
    <w:p>
      <w:pPr>
        <w:spacing w:line="360" w:lineRule="auto"/>
        <w:rPr>
          <w:rFonts w:eastAsia="仿宋_GB2312"/>
          <w:color w:val="000000"/>
          <w:sz w:val="21"/>
          <w:szCs w:val="21"/>
        </w:rPr>
        <w:sectPr>
          <w:pgSz w:w="11906" w:h="16838"/>
          <w:pgMar w:top="1134" w:right="1304" w:bottom="1134" w:left="1304" w:header="708" w:footer="709" w:gutter="0"/>
          <w:pgBorders>
            <w:top w:val="none" w:sz="0" w:space="0"/>
            <w:left w:val="none" w:sz="0" w:space="0"/>
            <w:bottom w:val="none" w:sz="0" w:space="0"/>
            <w:right w:val="none" w:sz="0" w:space="0"/>
          </w:pgBorders>
          <w:pgNumType w:fmt="decimal"/>
          <w:cols w:space="0" w:num="1"/>
          <w:rtlGutter w:val="0"/>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eastAsia" w:asciiTheme="minorEastAsia" w:hAnsiTheme="minorEastAsia" w:eastAsiaTheme="minorEastAsia" w:cstheme="minorEastAsia"/>
          <w:b/>
          <w:bCs w:val="0"/>
          <w:color w:val="000000"/>
          <w:sz w:val="32"/>
          <w:szCs w:val="32"/>
          <w:lang w:eastAsia="zh-CN"/>
        </w:rPr>
      </w:pPr>
      <w:r>
        <w:rPr>
          <w:rFonts w:hint="eastAsia" w:asciiTheme="minorEastAsia" w:hAnsiTheme="minorEastAsia" w:eastAsiaTheme="minorEastAsia" w:cstheme="minorEastAsia"/>
          <w:b/>
          <w:bCs w:val="0"/>
          <w:color w:val="000000"/>
          <w:sz w:val="32"/>
          <w:szCs w:val="32"/>
        </w:rPr>
        <w:t>四</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lang w:val="en-US" w:eastAsia="zh-CN"/>
        </w:rPr>
        <w:t>环境影响评价结论及环评批复要求</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b/>
                <w:bCs/>
                <w:color w:val="000000"/>
                <w:sz w:val="24"/>
                <w:szCs w:val="24"/>
                <w:lang w:val="en-US" w:eastAsia="zh-CN" w:bidi="ar-SA"/>
              </w:rPr>
            </w:pPr>
            <w:r>
              <w:rPr>
                <w:rFonts w:hint="eastAsia"/>
                <w:b/>
                <w:bCs/>
                <w:lang w:val="en-US" w:eastAsia="zh-CN"/>
              </w:rPr>
              <w:t>一</w:t>
            </w:r>
            <w:r>
              <w:rPr>
                <w:rFonts w:hint="eastAsia" w:ascii="Times New Roman" w:hAnsi="Times New Roman" w:eastAsia="宋体" w:cs="Times New Roman"/>
                <w:b/>
                <w:bCs/>
                <w:color w:val="000000"/>
                <w:sz w:val="24"/>
                <w:szCs w:val="24"/>
                <w:lang w:val="en-US" w:eastAsia="zh-CN" w:bidi="ar-SA"/>
              </w:rPr>
              <w:t>、环评主要结论</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eastAsia"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1、水环境影响分析结论</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项目排水</w:t>
            </w:r>
            <w:r>
              <w:rPr>
                <w:rFonts w:hint="eastAsia" w:ascii="Times New Roman" w:hAnsi="Times New Roman" w:cs="Times New Roman" w:eastAsiaTheme="minorEastAsia"/>
                <w:b w:val="0"/>
                <w:bCs w:val="0"/>
                <w:color w:val="000000"/>
                <w:sz w:val="24"/>
                <w:szCs w:val="24"/>
                <w:lang w:val="en-US" w:eastAsia="zh-CN" w:bidi="ar-SA"/>
              </w:rPr>
              <w:t>采</w:t>
            </w:r>
            <w:r>
              <w:rPr>
                <w:rFonts w:hint="default" w:ascii="Times New Roman" w:hAnsi="Times New Roman" w:cs="Times New Roman" w:eastAsiaTheme="minorEastAsia"/>
                <w:b w:val="0"/>
                <w:bCs w:val="0"/>
                <w:color w:val="000000"/>
                <w:sz w:val="24"/>
                <w:szCs w:val="24"/>
                <w:lang w:val="en-US" w:eastAsia="zh-CN" w:bidi="ar-SA"/>
              </w:rPr>
              <w:t>用雨污分流布置。生活污水年排放量为180ta，生活污水经化池处理达到纳管标准后排入市政污水管网，最后经三门县城市污水处理厂处理达《城镇污水处理污染物排放标准》（GB</w:t>
            </w:r>
            <w:r>
              <w:rPr>
                <w:rFonts w:hint="eastAsia" w:cs="Times New Roman" w:eastAsiaTheme="minorEastAsia"/>
                <w:b w:val="0"/>
                <w:bCs w:val="0"/>
                <w:color w:val="000000"/>
                <w:sz w:val="24"/>
                <w:szCs w:val="24"/>
                <w:lang w:val="en-US" w:eastAsia="zh-CN" w:bidi="ar-SA"/>
              </w:rPr>
              <w:t xml:space="preserve"> </w:t>
            </w:r>
            <w:r>
              <w:rPr>
                <w:rFonts w:hint="default" w:ascii="Times New Roman" w:hAnsi="Times New Roman" w:cs="Times New Roman" w:eastAsiaTheme="minorEastAsia"/>
                <w:b w:val="0"/>
                <w:bCs w:val="0"/>
                <w:color w:val="000000"/>
                <w:sz w:val="24"/>
                <w:szCs w:val="24"/>
                <w:lang w:val="en-US" w:eastAsia="zh-CN" w:bidi="ar-SA"/>
              </w:rPr>
              <w:t>189</w:t>
            </w:r>
            <w:r>
              <w:rPr>
                <w:rFonts w:hint="eastAsia" w:cs="Times New Roman" w:eastAsiaTheme="minorEastAsia"/>
                <w:b w:val="0"/>
                <w:bCs w:val="0"/>
                <w:color w:val="000000"/>
                <w:sz w:val="24"/>
                <w:szCs w:val="24"/>
                <w:lang w:val="en-US" w:eastAsia="zh-CN" w:bidi="ar-SA"/>
              </w:rPr>
              <w:t>1</w:t>
            </w:r>
            <w:r>
              <w:rPr>
                <w:rFonts w:hint="default" w:ascii="Times New Roman" w:hAnsi="Times New Roman" w:cs="Times New Roman" w:eastAsiaTheme="minorEastAsia"/>
                <w:b w:val="0"/>
                <w:bCs w:val="0"/>
                <w:color w:val="000000"/>
                <w:sz w:val="24"/>
                <w:szCs w:val="24"/>
                <w:lang w:val="en-US" w:eastAsia="zh-CN" w:bidi="ar-SA"/>
              </w:rPr>
              <w:t>8</w:t>
            </w:r>
            <w:r>
              <w:rPr>
                <w:rFonts w:hint="eastAsia" w:ascii="Times New Roman" w:hAnsi="Times New Roman"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2002）中的一级B标准后排入海游港，污染物排入环境量头COD</w:t>
            </w:r>
            <w:r>
              <w:rPr>
                <w:rFonts w:hint="eastAsia" w:cs="Times New Roman" w:eastAsiaTheme="minorEastAsia"/>
                <w:b w:val="0"/>
                <w:bCs w:val="0"/>
                <w:color w:val="000000"/>
                <w:sz w:val="24"/>
                <w:szCs w:val="24"/>
                <w:vertAlign w:val="subscript"/>
                <w:lang w:val="en-US" w:eastAsia="zh-CN" w:bidi="ar-SA"/>
              </w:rPr>
              <w:t>C</w:t>
            </w:r>
            <w:r>
              <w:rPr>
                <w:rFonts w:hint="default" w:ascii="Times New Roman" w:hAnsi="Times New Roman" w:cs="Times New Roman" w:eastAsiaTheme="minorEastAsia"/>
                <w:b w:val="0"/>
                <w:bCs w:val="0"/>
                <w:color w:val="000000"/>
                <w:sz w:val="24"/>
                <w:szCs w:val="24"/>
                <w:vertAlign w:val="subscript"/>
                <w:lang w:val="en-US" w:eastAsia="zh-CN" w:bidi="ar-SA"/>
              </w:rPr>
              <w:t>r</w:t>
            </w:r>
            <w:r>
              <w:rPr>
                <w:rFonts w:hint="default" w:ascii="Times New Roman" w:hAnsi="Times New Roman" w:cs="Times New Roman" w:eastAsiaTheme="minorEastAsia"/>
                <w:b w:val="0"/>
                <w:bCs w:val="0"/>
                <w:color w:val="000000"/>
                <w:sz w:val="24"/>
                <w:szCs w:val="24"/>
                <w:lang w:val="en-US" w:eastAsia="zh-CN" w:bidi="ar-SA"/>
              </w:rPr>
              <w:t>0.011t/a (60mg/L)</w:t>
            </w:r>
            <w:r>
              <w:rPr>
                <w:rFonts w:hint="eastAsia"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NH</w:t>
            </w:r>
            <w:r>
              <w:rPr>
                <w:rFonts w:hint="default" w:ascii="Times New Roman" w:hAnsi="Times New Roman" w:cs="Times New Roman" w:eastAsiaTheme="minorEastAsia"/>
                <w:b w:val="0"/>
                <w:bCs w:val="0"/>
                <w:color w:val="000000"/>
                <w:sz w:val="24"/>
                <w:szCs w:val="24"/>
                <w:vertAlign w:val="subscript"/>
                <w:lang w:val="en-US" w:eastAsia="zh-CN" w:bidi="ar-SA"/>
              </w:rPr>
              <w:t>3</w:t>
            </w:r>
            <w:r>
              <w:rPr>
                <w:rFonts w:hint="default" w:ascii="Times New Roman" w:hAnsi="Times New Roman" w:cs="Times New Roman" w:eastAsiaTheme="minorEastAsia"/>
                <w:b w:val="0"/>
                <w:bCs w:val="0"/>
                <w:color w:val="000000"/>
                <w:sz w:val="24"/>
                <w:szCs w:val="24"/>
                <w:lang w:val="en-US" w:eastAsia="zh-CN" w:bidi="ar-SA"/>
              </w:rPr>
              <w:t>-N0.001t</w:t>
            </w:r>
            <w:r>
              <w:rPr>
                <w:rFonts w:hint="eastAsia"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a (8mg/L)</w:t>
            </w:r>
            <w:r>
              <w:rPr>
                <w:rFonts w:hint="eastAsia" w:cs="Times New Roman" w:eastAsiaTheme="minorEastAsia"/>
                <w:b w:val="0"/>
                <w:bCs w:val="0"/>
                <w:color w:val="000000"/>
                <w:sz w:val="24"/>
                <w:szCs w:val="24"/>
                <w:lang w:val="en-US" w:eastAsia="zh-CN" w:bidi="ar-SA"/>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本项目污水的排放量较小，且只有生活污水产生，水质较为简单，经三门县城市污水</w:t>
            </w:r>
            <w:r>
              <w:rPr>
                <w:rFonts w:hint="eastAsia" w:ascii="Times New Roman" w:hAnsi="Times New Roman" w:cs="Times New Roman" w:eastAsiaTheme="minorEastAsia"/>
                <w:b w:val="0"/>
                <w:bCs w:val="0"/>
                <w:color w:val="000000"/>
                <w:sz w:val="24"/>
                <w:szCs w:val="24"/>
                <w:lang w:val="en-US" w:eastAsia="zh-CN" w:bidi="ar-SA"/>
              </w:rPr>
              <w:t>处理厂处理达标后排放，对周边水环境影响不大。</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2</w:t>
            </w:r>
            <w:r>
              <w:rPr>
                <w:rFonts w:hint="default" w:ascii="Times New Roman" w:hAnsi="Times New Roman" w:eastAsia="宋体" w:cs="Times New Roman"/>
                <w:b/>
                <w:bCs/>
                <w:color w:val="000000"/>
                <w:sz w:val="24"/>
                <w:szCs w:val="24"/>
                <w:lang w:val="en-US" w:eastAsia="zh-CN" w:bidi="ar-SA"/>
              </w:rPr>
              <w:t>、大气环境影响分析结论</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项目以金加工为主，生产过程中金属粉尘产生量较小且密度较大容易沉降，对周围境影响较小。</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根据工程分析可知，木项目使用焊条进行焊接，焊丝使用量0.05t</w:t>
            </w:r>
            <w:r>
              <w:rPr>
                <w:rFonts w:hint="eastAsia" w:ascii="Times New Roman" w:hAnsi="Times New Roman"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a, 焊接废气</w:t>
            </w:r>
            <w:r>
              <w:rPr>
                <w:rFonts w:hint="eastAsia" w:ascii="Times New Roman" w:hAnsi="Times New Roman" w:cs="Times New Roman" w:eastAsiaTheme="minorEastAsia"/>
                <w:b w:val="0"/>
                <w:bCs w:val="0"/>
                <w:color w:val="000000"/>
                <w:sz w:val="24"/>
                <w:szCs w:val="24"/>
                <w:lang w:val="en-US" w:eastAsia="zh-CN" w:bidi="ar-SA"/>
              </w:rPr>
              <w:t>排放</w:t>
            </w:r>
            <w:r>
              <w:rPr>
                <w:rFonts w:hint="default" w:ascii="Times New Roman" w:hAnsi="Times New Roman" w:cs="Times New Roman" w:eastAsiaTheme="minorEastAsia"/>
                <w:b w:val="0"/>
                <w:bCs w:val="0"/>
                <w:color w:val="000000"/>
                <w:sz w:val="24"/>
                <w:szCs w:val="24"/>
                <w:lang w:val="en-US" w:eastAsia="zh-CN" w:bidi="ar-SA"/>
              </w:rPr>
              <w:t>量少且为不连续排放，本次环评不做定量分析。为减少项目焊接烟尘对车间职工和周边</w:t>
            </w:r>
            <w:r>
              <w:rPr>
                <w:rFonts w:hint="eastAsia" w:ascii="Times New Roman" w:hAnsi="Times New Roman" w:cs="Times New Roman" w:eastAsiaTheme="minorEastAsia"/>
                <w:b w:val="0"/>
                <w:bCs w:val="0"/>
                <w:color w:val="000000"/>
                <w:sz w:val="24"/>
                <w:szCs w:val="24"/>
                <w:lang w:val="en-US" w:eastAsia="zh-CN" w:bidi="ar-SA"/>
              </w:rPr>
              <w:t>大</w:t>
            </w:r>
            <w:r>
              <w:rPr>
                <w:rFonts w:hint="default" w:ascii="Times New Roman" w:hAnsi="Times New Roman" w:cs="Times New Roman" w:eastAsiaTheme="minorEastAsia"/>
                <w:b w:val="0"/>
                <w:bCs w:val="0"/>
                <w:color w:val="000000"/>
                <w:sz w:val="24"/>
                <w:szCs w:val="24"/>
                <w:lang w:val="en-US" w:eastAsia="zh-CN" w:bidi="ar-SA"/>
              </w:rPr>
              <w:t>气环境的影响，本环评建议企业在焊接车间配备排气扇等换气装置，加强车间通风换气工作，保持空气流通，对周围环境影响较小。</w:t>
            </w:r>
          </w:p>
          <w:p>
            <w:pPr>
              <w:pStyle w:val="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firstLine="482" w:firstLineChars="200"/>
              <w:textAlignment w:val="auto"/>
              <w:outlineLvl w:val="9"/>
              <w:rPr>
                <w:rFonts w:hint="eastAsia" w:asciiTheme="minorEastAsia" w:hAnsiTheme="minorEastAsia" w:eastAsiaTheme="minorEastAsia" w:cstheme="minorEastAsia"/>
                <w:b/>
                <w:bCs/>
                <w:color w:val="000000"/>
                <w:sz w:val="24"/>
                <w:szCs w:val="24"/>
                <w:lang w:val="en-US" w:eastAsia="zh-CN" w:bidi="ar-SA"/>
              </w:rPr>
            </w:pPr>
            <w:r>
              <w:rPr>
                <w:rFonts w:hint="eastAsia" w:asciiTheme="minorEastAsia" w:hAnsiTheme="minorEastAsia" w:eastAsiaTheme="minorEastAsia" w:cstheme="minorEastAsia"/>
                <w:b/>
                <w:bCs/>
                <w:color w:val="000000"/>
                <w:sz w:val="24"/>
                <w:szCs w:val="24"/>
                <w:lang w:val="en-US" w:eastAsia="zh-CN" w:bidi="ar-SA"/>
              </w:rPr>
              <w:t>总结论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heme="minorEastAsia" w:hAnsiTheme="minorEastAsia" w:eastAsiaTheme="minorEastAsia" w:cstheme="minorEastAsia"/>
                <w:b w:val="0"/>
                <w:bCs w:val="0"/>
                <w:color w:val="000000"/>
                <w:sz w:val="24"/>
                <w:szCs w:val="24"/>
                <w:lang w:val="en-US" w:eastAsia="zh-CN" w:bidi="ar-SA"/>
              </w:rPr>
            </w:pPr>
            <w:r>
              <w:rPr>
                <w:rFonts w:hint="eastAsia" w:asciiTheme="minorEastAsia" w:hAnsiTheme="minorEastAsia" w:eastAsiaTheme="minorEastAsia" w:cstheme="minorEastAsia"/>
                <w:b w:val="0"/>
                <w:bCs w:val="0"/>
                <w:color w:val="000000"/>
                <w:sz w:val="24"/>
                <w:szCs w:val="24"/>
                <w:lang w:val="en-US" w:eastAsia="zh-CN" w:bidi="ar-SA"/>
              </w:rPr>
              <w:t>综上所述，本项目符合国家政策，符合环保审批原则，在运行过程中，认真实施本环评报告表提出的废气、废水、固体废物和噪声防治措施，保证各项污染物能够达标排放。在此基础上，项目建设基本上不会对周围环境产生明显的不利影响。因此，从环境保护的角度出发，本项目的建设是可行的。</w:t>
            </w:r>
          </w:p>
          <w:p>
            <w:pPr>
              <w:numPr>
                <w:ilvl w:val="0"/>
                <w:numId w:val="3"/>
              </w:numPr>
              <w:spacing w:after="0" w:afterLines="0" w:line="360" w:lineRule="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环评批复（</w:t>
            </w:r>
            <w:r>
              <w:rPr>
                <w:rFonts w:hint="eastAsia" w:ascii="Times New Roman" w:hAnsi="Times New Roman" w:eastAsia="宋体" w:cs="Times New Roman"/>
                <w:b/>
                <w:bCs/>
                <w:color w:val="000000"/>
                <w:sz w:val="24"/>
                <w:szCs w:val="24"/>
                <w:lang w:val="en-US" w:eastAsia="zh-CN"/>
              </w:rPr>
              <w:t>三</w:t>
            </w:r>
            <w:r>
              <w:rPr>
                <w:rFonts w:hint="default" w:ascii="Times New Roman" w:hAnsi="Times New Roman" w:eastAsia="宋体" w:cs="Times New Roman"/>
                <w:b/>
                <w:bCs/>
                <w:color w:val="000000"/>
                <w:sz w:val="24"/>
                <w:szCs w:val="24"/>
                <w:lang w:val="en-US" w:eastAsia="zh-CN"/>
              </w:rPr>
              <w:t>环建［201</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lang w:val="en-US" w:eastAsia="zh-CN"/>
              </w:rPr>
              <w:t>号）</w:t>
            </w:r>
          </w:p>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eastAsia"/>
                <w:lang w:val="en-US" w:eastAsia="zh-CN"/>
              </w:rPr>
            </w:pPr>
            <w:r>
              <w:rPr>
                <w:rFonts w:hint="eastAsia"/>
                <w:lang w:val="en-US" w:eastAsia="zh-CN"/>
              </w:rPr>
              <w:t>三门县海威</w:t>
            </w:r>
            <w:r>
              <w:rPr>
                <w:rFonts w:hint="default"/>
                <w:lang w:val="en-US"/>
              </w:rPr>
              <w:t>电气有限公司</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lang w:val="en-US" w:eastAsia="zh-CN"/>
              </w:rPr>
            </w:pPr>
            <w:r>
              <w:rPr>
                <w:rFonts w:hint="eastAsia"/>
                <w:lang w:val="en-US" w:eastAsia="zh-CN"/>
              </w:rPr>
              <w:t>你单位报送的由浙江东天虹环保工程有限公司编制的《三门县海威电气有限公司年产5000套高压负荷开关项目环境影响报告表》、环评文件报批申请及相关资料收悉。经审查并依法进行了公示，现根据《中华人民共和国环境影响评价法》、《浙江省建设项目环境保护管理办法》等法律法规，经研究，批复如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eastAsia="仿宋_GB2312"/>
                <w:color w:val="000000"/>
                <w:sz w:val="21"/>
                <w:szCs w:val="21"/>
              </w:rPr>
            </w:pPr>
            <w:r>
              <w:rPr>
                <w:rFonts w:hint="eastAsia"/>
                <w:lang w:val="en-US" w:eastAsia="zh-CN"/>
              </w:rPr>
              <w:t>根据环评报告内容，同意项目在海游镇光明路16号地块实施。企业投资100 万元，租用三门县海达橡胶厂部分厂房，租赁建筑面积约460平方米，新建年产5000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54" w:hRule="atLeast"/>
          <w:jc w:val="center"/>
        </w:trPr>
        <w:tc>
          <w:tcPr>
            <w:tcW w:w="8924"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jc w:val="both"/>
              <w:textAlignment w:val="auto"/>
              <w:outlineLvl w:val="9"/>
              <w:rPr>
                <w:rFonts w:hint="eastAsia"/>
                <w:lang w:val="en-US" w:eastAsia="zh-CN"/>
              </w:rPr>
            </w:pPr>
            <w:r>
              <w:rPr>
                <w:rFonts w:hint="eastAsia"/>
                <w:lang w:val="en-US" w:eastAsia="zh-CN"/>
              </w:rPr>
              <w:t>套高压负荷开关项目。项目建成后的生产工艺、设备清单等建设内容具体见环评文件。项目符合生态环境功能区规划和环境功能区划要求，采取环境影响评价报告所</w:t>
            </w:r>
          </w:p>
          <w:p>
            <w:pPr>
              <w:keepNext w:val="0"/>
              <w:keepLines w:val="0"/>
              <w:pageBreakBefore w:val="0"/>
              <w:widowControl w:val="0"/>
              <w:kinsoku/>
              <w:wordWrap/>
              <w:overflowPunct/>
              <w:topLinePunct w:val="0"/>
              <w:bidi w:val="0"/>
              <w:adjustRightInd w:val="0"/>
              <w:spacing w:before="62" w:after="0" w:afterLines="0" w:line="440" w:lineRule="exact"/>
              <w:jc w:val="both"/>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要求的污染防治措施后可符合污染物排放标准和总量控制指标。同意你公司按照报</w:t>
            </w:r>
          </w:p>
          <w:p>
            <w:pPr>
              <w:keepNext w:val="0"/>
              <w:keepLines w:val="0"/>
              <w:pageBreakBefore w:val="0"/>
              <w:widowControl w:val="0"/>
              <w:kinsoku/>
              <w:wordWrap/>
              <w:overflowPunct/>
              <w:topLinePunct w:val="0"/>
              <w:bidi w:val="0"/>
              <w:adjustRightInd w:val="0"/>
              <w:spacing w:before="62" w:after="0" w:afterLines="0" w:line="440" w:lineRule="exact"/>
              <w:jc w:val="both"/>
              <w:textAlignment w:val="auto"/>
              <w:rPr>
                <w:rFonts w:hint="default" w:ascii="Times New Roman" w:hAnsi="Times New Roman" w:cs="Times New Roman" w:eastAsia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告</w:t>
            </w:r>
            <w:r>
              <w:rPr>
                <w:rFonts w:hint="default" w:ascii="Times New Roman" w:hAnsi="Times New Roman" w:cs="Times New Roman" w:eastAsiaTheme="minorEastAsia"/>
                <w:color w:val="000000"/>
                <w:sz w:val="24"/>
                <w:szCs w:val="24"/>
                <w:lang w:eastAsia="zh-CN"/>
              </w:rPr>
              <w:t>表中所列建设项目的性质、规模、地点、采用的生产工艺、环境保护对对策措施进行项目建设。</w:t>
            </w:r>
          </w:p>
          <w:p>
            <w:pPr>
              <w:keepNext w:val="0"/>
              <w:keepLines w:val="0"/>
              <w:pageBreakBefore w:val="0"/>
              <w:widowControl w:val="0"/>
              <w:kinsoku/>
              <w:wordWrap/>
              <w:overflowPunct/>
              <w:topLinePunct w:val="0"/>
              <w:autoSpaceDE/>
              <w:autoSpaceDN/>
              <w:bidi w:val="0"/>
              <w:adjustRightInd w:val="0"/>
              <w:snapToGrid w:val="0"/>
              <w:spacing w:before="62" w:after="0" w:afterLines="0" w:line="440" w:lineRule="exact"/>
              <w:ind w:firstLine="480"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若建设项目的性质、规模、地点、采用的生产工艺或者防治污染、防止生态破坏的措施发生重大变化的，须依法重新报批建设项目的环境影响评价文件；或者本环境影响评价文件自批准之日起超过五年，方决定项目开工建设的，须报我局重新审核。</w:t>
            </w:r>
          </w:p>
          <w:p>
            <w:pPr>
              <w:keepNext w:val="0"/>
              <w:keepLines w:val="0"/>
              <w:pageBreakBefore w:val="0"/>
              <w:widowControl w:val="0"/>
              <w:kinsoku/>
              <w:wordWrap/>
              <w:overflowPunct/>
              <w:topLinePunct w:val="0"/>
              <w:autoSpaceDE/>
              <w:autoSpaceDN/>
              <w:bidi w:val="0"/>
              <w:adjustRightInd w:val="0"/>
              <w:snapToGrid w:val="0"/>
              <w:spacing w:before="62" w:after="0" w:afterLines="0" w:line="440" w:lineRule="exact"/>
              <w:ind w:firstLine="482"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b/>
                <w:bCs/>
                <w:color w:val="000000"/>
                <w:sz w:val="24"/>
                <w:szCs w:val="24"/>
                <w:lang w:eastAsia="zh-CN"/>
              </w:rPr>
              <w:t>二、</w:t>
            </w:r>
            <w:r>
              <w:rPr>
                <w:rFonts w:hint="default" w:ascii="Times New Roman" w:hAnsi="Times New Roman" w:cs="Times New Roman" w:eastAsiaTheme="minorEastAsia"/>
                <w:color w:val="000000"/>
                <w:sz w:val="24"/>
                <w:szCs w:val="24"/>
                <w:lang w:eastAsia="zh-CN"/>
              </w:rPr>
              <w:t>项目废水排放执行《污水综合排放标准》(GB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8978-1996)中的三级标准；废气排放执行《大气污染物综合排放标准》(GB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16297- 1996)中的二级标准；噪声排放执行《工业企业厂界环境噪声排放标准》(GB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12348- 2008)中2类标准；固体废物执行《一般工业固废贮存、处置场污染控制标准》(GB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18599- 2001) 及国家污染物控制标准修改单的公告(环境保护部公告2013年第36号)、危险固废执行《危险废物贮存污染控制标准》(GB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18597-2001) 及国家污染物控制标准修改单的公告(环境保护部公告2013年第36号)。</w:t>
            </w:r>
          </w:p>
          <w:p>
            <w:pPr>
              <w:keepNext w:val="0"/>
              <w:keepLines w:val="0"/>
              <w:pageBreakBefore w:val="0"/>
              <w:widowControl w:val="0"/>
              <w:kinsoku/>
              <w:wordWrap/>
              <w:overflowPunct/>
              <w:topLinePunct w:val="0"/>
              <w:autoSpaceDE/>
              <w:autoSpaceDN/>
              <w:bidi w:val="0"/>
              <w:adjustRightInd w:val="0"/>
              <w:snapToGrid w:val="0"/>
              <w:spacing w:before="62" w:after="0" w:afterLines="0" w:line="440" w:lineRule="exact"/>
              <w:ind w:firstLine="482"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b/>
                <w:bCs/>
                <w:color w:val="000000"/>
                <w:sz w:val="24"/>
                <w:szCs w:val="24"/>
                <w:lang w:eastAsia="zh-CN"/>
              </w:rPr>
              <w:t>三、</w:t>
            </w:r>
            <w:r>
              <w:rPr>
                <w:rFonts w:hint="default" w:ascii="Times New Roman" w:hAnsi="Times New Roman" w:cs="Times New Roman" w:eastAsiaTheme="minorEastAsia"/>
                <w:color w:val="000000"/>
                <w:sz w:val="24"/>
                <w:szCs w:val="24"/>
                <w:lang w:eastAsia="zh-CN"/>
              </w:rPr>
              <w:t>严格落实污染物排放总量控制措施，本项目只排生活污水，废水排放量控制在180吨/年、外排环境量COD控制在0.011吨/年、氨氮控制在0. 001吨/年。</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eastAsia" w:ascii="Times New Roman" w:hAnsi="Times New Roman" w:cs="Times New Roman" w:eastAsiaTheme="minorEastAsia"/>
                <w:color w:val="000000"/>
                <w:sz w:val="24"/>
                <w:szCs w:val="24"/>
                <w:lang w:eastAsia="zh-CN"/>
              </w:rPr>
            </w:pPr>
            <w:r>
              <w:rPr>
                <w:rFonts w:hint="eastAsia" w:asciiTheme="minorEastAsia" w:hAnsiTheme="minorEastAsia" w:eastAsiaTheme="minorEastAsia" w:cstheme="minorEastAsia"/>
                <w:b w:val="0"/>
                <w:bCs w:val="0"/>
                <w:sz w:val="24"/>
                <w:szCs w:val="24"/>
                <w:lang w:eastAsia="zh-CN"/>
              </w:rPr>
              <w:t>四</w:t>
            </w:r>
            <w:r>
              <w:rPr>
                <w:rFonts w:hint="eastAsia" w:asciiTheme="minorEastAsia" w:hAnsiTheme="minorEastAsia" w:eastAsiaTheme="minorEastAsia" w:cstheme="minorEastAsia"/>
                <w:b/>
                <w:bCs/>
                <w:sz w:val="24"/>
                <w:szCs w:val="24"/>
                <w:lang w:eastAsia="zh-CN"/>
              </w:rPr>
              <w:t>、</w:t>
            </w:r>
            <w:r>
              <w:rPr>
                <w:rFonts w:hint="default" w:ascii="Times New Roman" w:hAnsi="Times New Roman" w:cs="Times New Roman" w:eastAsiaTheme="minorEastAsia"/>
                <w:color w:val="000000"/>
                <w:sz w:val="24"/>
                <w:szCs w:val="24"/>
                <w:lang w:eastAsia="zh-CN"/>
              </w:rPr>
              <w:t>项目实施过程中应将环评中提及的污染防治措施予以落实，井重点做好以下几方面的工作</w:t>
            </w:r>
            <w:r>
              <w:rPr>
                <w:rFonts w:hint="eastAsia" w:ascii="Times New Roman" w:hAnsi="Times New Roman" w:cs="Times New Roman" w:eastAsiaTheme="minorEastAsia"/>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val="en-US" w:eastAsia="zh-CN"/>
              </w:rPr>
              <w:t>1</w:t>
            </w:r>
            <w:r>
              <w:rPr>
                <w:rFonts w:hint="default" w:ascii="Times New Roman" w:hAnsi="Times New Roman" w:cs="Times New Roman" w:eastAsiaTheme="minorEastAsia"/>
                <w:color w:val="000000"/>
                <w:sz w:val="24"/>
                <w:szCs w:val="24"/>
                <w:lang w:eastAsia="zh-CN"/>
              </w:rPr>
              <w:t>、做好厂区内雨污分流、清污分流工作。项目生活污水经预处理达到三级标准后线人三门县城市污水处理厂处理，厂区内设个规范化的可供厂外监督的排放口， 排成口设置规范化标志牌和采样口。</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2、加强大气污染防治，严格落实环评提出的各项大气污染防治措施。加强焊接车间的通风，设置换气扇等措施，确保车间空气流通。</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eastAsia" w:eastAsia="仿宋_GB2312"/>
                <w:color w:val="000000"/>
                <w:sz w:val="21"/>
                <w:szCs w:val="21"/>
                <w:lang w:eastAsia="zh-CN"/>
              </w:rPr>
            </w:pPr>
            <w:r>
              <w:rPr>
                <w:rFonts w:hint="default" w:ascii="Times New Roman" w:hAnsi="Times New Roman" w:cs="Times New Roman" w:eastAsiaTheme="minorEastAsia"/>
                <w:color w:val="000000"/>
                <w:sz w:val="24"/>
                <w:szCs w:val="24"/>
                <w:lang w:eastAsia="zh-CN"/>
              </w:rPr>
              <w:t>3、建设规范固废堆放场，生产中产生的边角料属于一般固废，要求分类收集后外卖，不得露天堆放，按一般固废管理工作要求做好暂时储存管理工作，并防雨防渗。废乳化液属危险废物，要密闭存放，加强管理，做到防渗防漏防腐，危险废物必须交由有资质的单位处置，危险废物转移须建立联单制并签订委托协议。生活垃圾应委托环卫部门进行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2" w:hRule="atLeast"/>
          <w:jc w:val="center"/>
        </w:trPr>
        <w:tc>
          <w:tcPr>
            <w:tcW w:w="8924" w:type="dxa"/>
            <w:vAlign w:val="top"/>
          </w:tcPr>
          <w:p>
            <w:pPr>
              <w:keepNext w:val="0"/>
              <w:keepLines w:val="0"/>
              <w:pageBreakBefore w:val="0"/>
              <w:widowControl/>
              <w:numPr>
                <w:ilvl w:val="0"/>
                <w:numId w:val="2"/>
              </w:numPr>
              <w:kinsoku/>
              <w:wordWrap/>
              <w:overflowPunct/>
              <w:topLinePunct w:val="0"/>
              <w:autoSpaceDE/>
              <w:autoSpaceDN/>
              <w:bidi w:val="0"/>
              <w:adjustRightInd w:val="0"/>
              <w:snapToGrid w:val="0"/>
              <w:spacing w:after="0" w:line="420" w:lineRule="exact"/>
              <w:ind w:left="0" w:leftChars="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加强生产管理，同时必须做好降噪诚震工作。加强设备的维护，确保设备处于良好的运转状态，杜绝因设备不正常运转时产生的高噪声现象。加强员工的环保意识，在厂区内种植绿色植被，美化环境。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2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t>五、</w:t>
            </w:r>
            <w:r>
              <w:rPr>
                <w:rFonts w:hint="default" w:ascii="Times New Roman" w:hAnsi="Times New Roman" w:cs="Times New Roman" w:eastAsiaTheme="minorEastAsia"/>
                <w:color w:val="000000"/>
                <w:sz w:val="24"/>
                <w:szCs w:val="24"/>
                <w:lang w:eastAsia="zh-CN"/>
              </w:rPr>
              <w:t>项目建设必须严格执行配套建设的环境保护设施与主体工程同时设计、同时施工、同时投产使用的环境保护“三同时”制度，在设计、施工、试生产和日常管理各个环节中落实环境保护措施。项目试生产前，须向我局备案</w:t>
            </w:r>
            <w:r>
              <w:rPr>
                <w:rFonts w:hint="eastAsia"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eastAsia="zh-CN"/>
              </w:rPr>
              <w:t>项目竣工后，建设单位必须按规定程序申请环保设施竣工验收。验收合格后，项目方可正式投入生产。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2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请环境监察大队负责对项目实施的日常环保监管工作，同时你公司须按规定接受环保部门的监督检查。</w:t>
            </w:r>
          </w:p>
        </w:tc>
      </w:tr>
    </w:tbl>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bCs w:val="0"/>
          <w:color w:val="000000"/>
          <w:sz w:val="32"/>
          <w:szCs w:val="32"/>
          <w:lang w:eastAsia="zh-CN"/>
        </w:rPr>
      </w:pPr>
      <w:r>
        <w:rPr>
          <w:rFonts w:hint="eastAsia" w:asciiTheme="minorEastAsia" w:hAnsiTheme="minorEastAsia" w:eastAsiaTheme="minorEastAsia" w:cstheme="minorEastAsia"/>
          <w:b/>
          <w:bCs w:val="0"/>
          <w:color w:val="000000"/>
          <w:sz w:val="32"/>
          <w:szCs w:val="32"/>
        </w:rPr>
        <w:t>五</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rPr>
        <w:t>验收监测质量保证及质量控制</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70" w:hRule="atLeast"/>
          <w:jc w:val="center"/>
        </w:trPr>
        <w:tc>
          <w:tcPr>
            <w:tcW w:w="8924" w:type="dxa"/>
            <w:vAlign w:val="top"/>
          </w:tcPr>
          <w:p>
            <w:pPr>
              <w:keepNext w:val="0"/>
              <w:keepLines w:val="0"/>
              <w:pageBreakBefore w:val="0"/>
              <w:numPr>
                <w:ilvl w:val="0"/>
                <w:numId w:val="0"/>
              </w:numPr>
              <w:kinsoku/>
              <w:wordWrap/>
              <w:overflowPunct/>
              <w:topLinePunct w:val="0"/>
              <w:autoSpaceDE/>
              <w:autoSpaceDN/>
              <w:bidi w:val="0"/>
              <w:spacing w:after="0" w:afterLines="0" w:line="420" w:lineRule="exact"/>
              <w:textAlignment w:val="auto"/>
              <w:outlineLvl w:val="9"/>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一、验收监测方法</w:t>
            </w:r>
          </w:p>
          <w:p>
            <w:pPr>
              <w:pStyle w:val="13"/>
              <w:keepNext w:val="0"/>
              <w:keepLines w:val="0"/>
              <w:pageBreakBefore w:val="0"/>
              <w:kinsoku/>
              <w:wordWrap/>
              <w:overflowPunct/>
              <w:topLinePunct w:val="0"/>
              <w:autoSpaceDE/>
              <w:autoSpaceDN/>
              <w:bidi w:val="0"/>
              <w:spacing w:before="62" w:line="420" w:lineRule="exact"/>
              <w:ind w:left="0" w:leftChars="0" w:firstLine="480" w:firstLineChars="200"/>
              <w:textAlignment w:val="auto"/>
              <w:outlineLvl w:val="9"/>
              <w:rPr>
                <w:rFonts w:hint="default" w:ascii="Times New Roman" w:hAnsi="Times New Roman" w:eastAsia="仿宋_GB2312" w:cs="Times New Roman"/>
                <w:color w:val="000000"/>
                <w:szCs w:val="21"/>
                <w:lang w:val="en-US"/>
              </w:rPr>
            </w:pPr>
            <w:r>
              <w:rPr>
                <w:rFonts w:hint="default" w:ascii="Times New Roman" w:hAnsi="Times New Roman" w:cs="Times New Roman"/>
                <w:b w:val="0"/>
                <w:color w:val="000000"/>
                <w:sz w:val="24"/>
                <w:szCs w:val="24"/>
                <w:lang w:val="en-US" w:eastAsia="zh-CN" w:bidi="ar-SA"/>
              </w:rPr>
              <w:t>本项目监测分析方法见表</w:t>
            </w:r>
            <w:r>
              <w:rPr>
                <w:rFonts w:hint="eastAsia" w:cs="Times New Roman"/>
                <w:b w:val="0"/>
                <w:color w:val="000000"/>
                <w:sz w:val="24"/>
                <w:szCs w:val="24"/>
                <w:lang w:val="en-US" w:eastAsia="zh-CN" w:bidi="ar-SA"/>
              </w:rPr>
              <w:t>5-1</w:t>
            </w:r>
            <w:r>
              <w:rPr>
                <w:rFonts w:hint="default" w:ascii="Times New Roman" w:hAnsi="Times New Roman" w:cs="Times New Roman"/>
                <w:b w:val="0"/>
                <w:color w:val="000000"/>
                <w:sz w:val="24"/>
                <w:szCs w:val="24"/>
                <w:lang w:val="en-US" w:eastAsia="zh-CN" w:bidi="ar-SA"/>
              </w:rPr>
              <w:t>。</w:t>
            </w:r>
          </w:p>
          <w:p>
            <w:pPr>
              <w:pStyle w:val="13"/>
              <w:keepNext w:val="0"/>
              <w:keepLines w:val="0"/>
              <w:pageBreakBefore w:val="0"/>
              <w:kinsoku/>
              <w:wordWrap/>
              <w:overflowPunct/>
              <w:topLinePunct w:val="0"/>
              <w:autoSpaceDE/>
              <w:autoSpaceDN/>
              <w:bidi w:val="0"/>
              <w:spacing w:before="62" w:line="420" w:lineRule="exact"/>
              <w:ind w:left="0" w:leftChars="0" w:firstLine="0" w:firstLineChars="0"/>
              <w:jc w:val="center"/>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表</w:t>
            </w:r>
            <w:r>
              <w:rPr>
                <w:rFonts w:hint="eastAsia" w:cs="Times New Roman"/>
                <w:b w:val="0"/>
                <w:color w:val="000000"/>
                <w:sz w:val="24"/>
                <w:szCs w:val="24"/>
                <w:lang w:val="en-US" w:eastAsia="zh-CN" w:bidi="ar-SA"/>
              </w:rPr>
              <w:t>5-1</w:t>
            </w:r>
            <w:r>
              <w:rPr>
                <w:rFonts w:hint="default" w:ascii="Times New Roman" w:hAnsi="Times New Roman" w:eastAsia="宋体" w:cs="Times New Roman"/>
                <w:b w:val="0"/>
                <w:color w:val="000000"/>
                <w:sz w:val="24"/>
                <w:szCs w:val="24"/>
                <w:lang w:val="en-US" w:eastAsia="zh-CN" w:bidi="ar-SA"/>
              </w:rPr>
              <w:t xml:space="preserve">  监测分析方法一览表</w:t>
            </w:r>
          </w:p>
          <w:tbl>
            <w:tblPr>
              <w:tblStyle w:val="11"/>
              <w:tblpPr w:leftFromText="180" w:rightFromText="180" w:vertAnchor="text" w:horzAnchor="page" w:tblpXSpec="center" w:tblpY="24"/>
              <w:tblOverlap w:val="never"/>
              <w:tblW w:w="8686"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1095"/>
              <w:gridCol w:w="3495"/>
              <w:gridCol w:w="1590"/>
              <w:gridCol w:w="16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34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方法</w:t>
                  </w:r>
                  <w:r>
                    <w:rPr>
                      <w:rFonts w:hint="default" w:ascii="Times New Roman" w:hAnsi="Times New Roman" w:eastAsia="宋体" w:cs="Times New Roman"/>
                      <w:color w:val="000000"/>
                      <w:sz w:val="21"/>
                      <w:szCs w:val="21"/>
                      <w:lang w:val="en-US" w:eastAsia="zh-CN"/>
                    </w:rPr>
                    <w:t>依据</w:t>
                  </w:r>
                </w:p>
              </w:tc>
              <w:tc>
                <w:tcPr>
                  <w:tcW w:w="1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仪器设备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jc w:val="center"/>
              </w:trPr>
              <w:tc>
                <w:tcPr>
                  <w:tcW w:w="868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9" w:hRule="atLeast"/>
                <w:jc w:val="center"/>
              </w:trPr>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噪声</w:t>
                  </w:r>
                </w:p>
              </w:tc>
              <w:tc>
                <w:tcPr>
                  <w:tcW w:w="34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《工业企业厂界环境噪声排放标准》</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w:t>
                  </w:r>
                  <w:r>
                    <w:rPr>
                      <w:rFonts w:hint="default"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12348-2008</w:t>
                  </w:r>
                </w:p>
              </w:tc>
              <w:tc>
                <w:tcPr>
                  <w:tcW w:w="1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多功能</w:t>
                  </w:r>
                  <w:r>
                    <w:rPr>
                      <w:rFonts w:hint="default" w:ascii="Times New Roman" w:hAnsi="Times New Roman" w:eastAsia="宋体" w:cs="Times New Roman"/>
                      <w:color w:val="000000"/>
                      <w:sz w:val="21"/>
                      <w:szCs w:val="21"/>
                      <w:lang w:eastAsia="zh-CN"/>
                    </w:rPr>
                    <w:t>声级计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CB-09-01</w:t>
                  </w:r>
                </w:p>
              </w:tc>
            </w:tr>
          </w:tbl>
          <w:p>
            <w:pPr>
              <w:pStyle w:val="6"/>
              <w:keepNext w:val="0"/>
              <w:keepLines w:val="0"/>
              <w:pageBreakBefore w:val="0"/>
              <w:widowControl/>
              <w:kinsoku/>
              <w:wordWrap/>
              <w:overflowPunct/>
              <w:topLinePunct w:val="0"/>
              <w:autoSpaceDE/>
              <w:autoSpaceDN/>
              <w:bidi w:val="0"/>
              <w:adjustRightInd w:val="0"/>
              <w:snapToGrid w:val="0"/>
              <w:spacing w:after="0" w:line="440" w:lineRule="exact"/>
              <w:jc w:val="left"/>
              <w:textAlignment w:val="auto"/>
              <w:outlineLvl w:val="9"/>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二、质量控制和质量保证</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为了确保监测数据具有代表性、可靠性、准确性，在本次验收监测中对监测全过程包括布点、采样、实验室分析、数据处理等各环节进行严格的质量控制。具体要求如下：</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1、合理布设监测点位，保证各监测点位布设的科学性和可比性；</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2、由厂方提供验收监测期间的工况条件，验收监测工况负荷达到额定负荷的 75%以上。</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3、现场采样、分析人员经技术培训，持证上岗后方可工作。</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4、本次监测所用仪器、量器均为计量部门鉴定认证和分析人员校准合格的。</w:t>
            </w:r>
          </w:p>
          <w:p>
            <w:pPr>
              <w:pStyle w:val="6"/>
              <w:keepNext w:val="0"/>
              <w:keepLines w:val="0"/>
              <w:pageBreakBefore w:val="0"/>
              <w:widowControl/>
              <w:kinsoku/>
              <w:wordWrap/>
              <w:overflowPunct/>
              <w:topLinePunct w:val="0"/>
              <w:autoSpaceDE/>
              <w:autoSpaceDN/>
              <w:bidi w:val="0"/>
              <w:adjustRightInd w:val="0"/>
              <w:snapToGrid w:val="0"/>
              <w:spacing w:before="8" w:after="0" w:line="440" w:lineRule="exact"/>
              <w:ind w:left="0" w:right="0" w:firstLine="48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5、监测分析方法采用国家颁布的标准（或推荐）分析方法。</w:t>
            </w:r>
          </w:p>
          <w:p>
            <w:pPr>
              <w:pStyle w:val="6"/>
              <w:keepNext w:val="0"/>
              <w:keepLines w:val="0"/>
              <w:pageBreakBefore w:val="0"/>
              <w:widowControl/>
              <w:kinsoku/>
              <w:wordWrap/>
              <w:overflowPunct/>
              <w:topLinePunct w:val="0"/>
              <w:autoSpaceDE/>
              <w:autoSpaceDN/>
              <w:bidi w:val="0"/>
              <w:adjustRightInd w:val="0"/>
              <w:snapToGrid w:val="0"/>
              <w:spacing w:before="8" w:after="0" w:line="440" w:lineRule="exact"/>
              <w:ind w:left="0" w:right="0" w:firstLine="480"/>
              <w:jc w:val="left"/>
              <w:textAlignment w:val="auto"/>
              <w:outlineLvl w:val="9"/>
              <w:rPr>
                <w:rFonts w:eastAsia="仿宋_GB2312"/>
                <w:color w:val="000000"/>
                <w:szCs w:val="21"/>
              </w:rPr>
            </w:pPr>
            <w:r>
              <w:rPr>
                <w:rFonts w:hint="default" w:ascii="Times New Roman" w:hAnsi="Times New Roman" w:eastAsia="宋体" w:cs="Times New Roman"/>
                <w:b w:val="0"/>
                <w:color w:val="000000"/>
                <w:kern w:val="2"/>
                <w:sz w:val="24"/>
                <w:szCs w:val="24"/>
                <w:lang w:val="en-US" w:eastAsia="zh-CN" w:bidi="ar-SA"/>
              </w:rPr>
              <w:t>6、所有监测数据、记录必须经监测分析人员、审核人员和授权签字人三级审核， 经过校对、校核，最后由授权签字人签字。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4" w:hRule="atLeast"/>
          <w:jc w:val="center"/>
        </w:trPr>
        <w:tc>
          <w:tcPr>
            <w:tcW w:w="8924" w:type="dxa"/>
            <w:vAlign w:val="top"/>
          </w:tcPr>
          <w:p>
            <w:pPr>
              <w:pStyle w:val="6"/>
              <w:keepNext w:val="0"/>
              <w:keepLines w:val="0"/>
              <w:pageBreakBefore w:val="0"/>
              <w:widowControl/>
              <w:kinsoku/>
              <w:wordWrap/>
              <w:overflowPunct/>
              <w:topLinePunct w:val="0"/>
              <w:autoSpaceDE/>
              <w:autoSpaceDN/>
              <w:bidi w:val="0"/>
              <w:adjustRightInd w:val="0"/>
              <w:snapToGrid w:val="0"/>
              <w:spacing w:after="0" w:line="440" w:lineRule="exact"/>
              <w:ind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（1）</w:t>
            </w:r>
            <w:r>
              <w:rPr>
                <w:rFonts w:hint="default" w:ascii="Times New Roman" w:hAnsi="Times New Roman" w:eastAsia="宋体" w:cs="Times New Roman"/>
                <w:b w:val="0"/>
                <w:color w:val="000000"/>
                <w:kern w:val="2"/>
                <w:sz w:val="24"/>
                <w:szCs w:val="24"/>
                <w:lang w:val="en-US" w:eastAsia="zh-CN" w:bidi="ar-SA"/>
              </w:rPr>
              <w:t>噪声监测分析</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2"/>
              <w:jc w:val="left"/>
              <w:textAlignment w:val="auto"/>
              <w:outlineLvl w:val="9"/>
            </w:pPr>
            <w:r>
              <w:rPr>
                <w:rFonts w:hint="default" w:ascii="Times New Roman" w:hAnsi="Times New Roman" w:eastAsia="宋体" w:cs="Times New Roman"/>
                <w:b w:val="0"/>
                <w:color w:val="000000"/>
                <w:kern w:val="2"/>
                <w:sz w:val="24"/>
                <w:szCs w:val="24"/>
                <w:lang w:val="en-US" w:eastAsia="zh-CN" w:bidi="ar-SA"/>
              </w:rPr>
              <w:t>监测时使用经计量部门检定、并在有效使用期内的声级计；声级计在测试前后用标准声源进行校准，测量前后仪器的灵敏度相差不大于 0.5dB。</w:t>
            </w:r>
          </w:p>
          <w:tbl>
            <w:tblPr>
              <w:tblStyle w:val="12"/>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741"/>
              <w:gridCol w:w="1742"/>
              <w:gridCol w:w="174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1" w:type="dxa"/>
                  <w:vAlign w:val="center"/>
                </w:tcPr>
                <w:p>
                  <w:pPr>
                    <w:pStyle w:val="6"/>
                    <w:keepNext w:val="0"/>
                    <w:keepLines w:val="0"/>
                    <w:pageBreakBefore w:val="0"/>
                    <w:widowControl/>
                    <w:kinsoku/>
                    <w:wordWrap/>
                    <w:overflowPunct/>
                    <w:topLinePunct w:val="0"/>
                    <w:autoSpaceDE/>
                    <w:autoSpaceDN/>
                    <w:bidi w:val="0"/>
                    <w:adjustRightInd w:val="0"/>
                    <w:snapToGrid w:val="0"/>
                    <w:spacing w:before="8"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校准型号</w:t>
                  </w:r>
                </w:p>
              </w:tc>
              <w:tc>
                <w:tcPr>
                  <w:tcW w:w="1741" w:type="dxa"/>
                  <w:vAlign w:val="center"/>
                </w:tcPr>
                <w:p>
                  <w:pPr>
                    <w:pStyle w:val="6"/>
                    <w:keepNext w:val="0"/>
                    <w:keepLines w:val="0"/>
                    <w:pageBreakBefore w:val="0"/>
                    <w:widowControl/>
                    <w:kinsoku/>
                    <w:wordWrap/>
                    <w:overflowPunct/>
                    <w:topLinePunct w:val="0"/>
                    <w:autoSpaceDE/>
                    <w:autoSpaceDN/>
                    <w:bidi w:val="0"/>
                    <w:adjustRightInd w:val="0"/>
                    <w:snapToGrid w:val="0"/>
                    <w:spacing w:before="8"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校准定值</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before="8"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测量前校准值</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before="8"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测量后校准值</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before="8"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1" w:type="dxa"/>
                  <w:vAlign w:val="center"/>
                </w:tcPr>
                <w:p>
                  <w:pPr>
                    <w:pStyle w:val="6"/>
                    <w:keepNext w:val="0"/>
                    <w:keepLines w:val="0"/>
                    <w:pageBreakBefore w:val="0"/>
                    <w:widowControl/>
                    <w:kinsoku/>
                    <w:wordWrap/>
                    <w:overflowPunct/>
                    <w:topLinePunct w:val="0"/>
                    <w:autoSpaceDE/>
                    <w:autoSpaceDN/>
                    <w:bidi w:val="0"/>
                    <w:adjustRightInd w:val="0"/>
                    <w:snapToGrid w:val="0"/>
                    <w:spacing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AWA6221B</w:t>
                  </w:r>
                </w:p>
              </w:tc>
              <w:tc>
                <w:tcPr>
                  <w:tcW w:w="1741" w:type="dxa"/>
                  <w:vAlign w:val="center"/>
                </w:tcPr>
                <w:p>
                  <w:pPr>
                    <w:pStyle w:val="6"/>
                    <w:keepNext w:val="0"/>
                    <w:keepLines w:val="0"/>
                    <w:pageBreakBefore w:val="0"/>
                    <w:widowControl/>
                    <w:kinsoku/>
                    <w:wordWrap/>
                    <w:overflowPunct/>
                    <w:topLinePunct w:val="0"/>
                    <w:autoSpaceDE/>
                    <w:autoSpaceDN/>
                    <w:bidi w:val="0"/>
                    <w:adjustRightInd w:val="0"/>
                    <w:snapToGrid w:val="0"/>
                    <w:spacing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94.0</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93.8</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93.8</w:t>
                  </w:r>
                </w:p>
              </w:tc>
              <w:tc>
                <w:tcPr>
                  <w:tcW w:w="1742" w:type="dxa"/>
                  <w:vAlign w:val="center"/>
                </w:tcPr>
                <w:p>
                  <w:pPr>
                    <w:pStyle w:val="6"/>
                    <w:keepNext w:val="0"/>
                    <w:keepLines w:val="0"/>
                    <w:pageBreakBefore w:val="0"/>
                    <w:widowControl/>
                    <w:kinsoku/>
                    <w:wordWrap/>
                    <w:overflowPunct/>
                    <w:topLinePunct w:val="0"/>
                    <w:autoSpaceDE/>
                    <w:autoSpaceDN/>
                    <w:bidi w:val="0"/>
                    <w:adjustRightInd w:val="0"/>
                    <w:snapToGrid w:val="0"/>
                    <w:spacing w:after="0" w:line="240" w:lineRule="auto"/>
                    <w:ind w:right="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符合</w:t>
                  </w:r>
                </w:p>
              </w:tc>
            </w:tr>
          </w:tbl>
          <w:p>
            <w:pPr>
              <w:pStyle w:val="6"/>
              <w:keepNext w:val="0"/>
              <w:keepLines w:val="0"/>
              <w:pageBreakBefore w:val="0"/>
              <w:widowControl/>
              <w:kinsoku/>
              <w:wordWrap/>
              <w:overflowPunct/>
              <w:topLinePunct w:val="0"/>
              <w:autoSpaceDE/>
              <w:autoSpaceDN/>
              <w:bidi w:val="0"/>
              <w:adjustRightInd w:val="0"/>
              <w:snapToGrid w:val="0"/>
              <w:spacing w:before="8" w:after="0" w:line="440" w:lineRule="exact"/>
              <w:ind w:right="0"/>
              <w:jc w:val="left"/>
              <w:textAlignment w:val="auto"/>
              <w:outlineLvl w:val="9"/>
              <w:rPr>
                <w:rFonts w:hint="default"/>
                <w:lang w:val="en-US" w:eastAsia="zh-CN"/>
              </w:rPr>
            </w:pPr>
          </w:p>
        </w:tc>
      </w:tr>
    </w:tbl>
    <w:p>
      <w:pPr>
        <w:spacing w:after="0" w:afterLines="0" w:line="360" w:lineRule="auto"/>
        <w:rPr>
          <w:rFonts w:hint="eastAsia" w:asciiTheme="minorEastAsia" w:hAnsiTheme="minorEastAsia" w:eastAsiaTheme="minorEastAsia" w:cstheme="minorEastAsia"/>
          <w:b/>
          <w:bCs w:val="0"/>
          <w:color w:val="000000"/>
          <w:sz w:val="32"/>
          <w:szCs w:val="32"/>
          <w:lang w:val="en-US" w:eastAsia="zh-CN"/>
        </w:rPr>
      </w:pPr>
      <w:r>
        <w:rPr>
          <w:rFonts w:hint="eastAsia" w:asciiTheme="minorEastAsia" w:hAnsiTheme="minorEastAsia" w:eastAsiaTheme="minorEastAsia" w:cstheme="minorEastAsia"/>
          <w:b/>
          <w:bCs w:val="0"/>
          <w:color w:val="000000"/>
          <w:sz w:val="32"/>
          <w:szCs w:val="32"/>
        </w:rPr>
        <w:t>六</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rPr>
        <w:t>验收监测内容</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04"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62" w:after="0" w:line="360" w:lineRule="auto"/>
              <w:ind w:firstLine="480" w:firstLineChars="20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该项目验收监测内容为噪声监测。</w:t>
            </w:r>
          </w:p>
          <w:p>
            <w:pPr>
              <w:keepNext w:val="0"/>
              <w:keepLines w:val="0"/>
              <w:pageBreakBefore w:val="0"/>
              <w:widowControl/>
              <w:numPr>
                <w:ilvl w:val="0"/>
                <w:numId w:val="0"/>
              </w:numPr>
              <w:kinsoku/>
              <w:wordWrap/>
              <w:overflowPunct/>
              <w:topLinePunct w:val="0"/>
              <w:autoSpaceDE/>
              <w:autoSpaceDN/>
              <w:bidi w:val="0"/>
              <w:adjustRightInd w:val="0"/>
              <w:snapToGrid w:val="0"/>
              <w:spacing w:before="62" w:after="0" w:line="360" w:lineRule="auto"/>
              <w:ind w:firstLine="482" w:firstLineChars="200"/>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w:t>
            </w:r>
            <w:r>
              <w:rPr>
                <w:rFonts w:hint="default" w:ascii="Times New Roman" w:hAnsi="Times New Roman" w:eastAsia="宋体" w:cs="Times New Roman"/>
                <w:b/>
                <w:bCs/>
                <w:color w:val="000000"/>
                <w:kern w:val="2"/>
                <w:sz w:val="24"/>
                <w:szCs w:val="24"/>
                <w:lang w:val="en-US" w:eastAsia="zh-CN" w:bidi="ar-SA"/>
              </w:rPr>
              <w:t>、噪声</w:t>
            </w:r>
          </w:p>
          <w:p>
            <w:pPr>
              <w:keepNext w:val="0"/>
              <w:keepLines w:val="0"/>
              <w:pageBreakBefore w:val="0"/>
              <w:widowControl/>
              <w:kinsoku/>
              <w:wordWrap/>
              <w:overflowPunct/>
              <w:topLinePunct w:val="0"/>
              <w:autoSpaceDE/>
              <w:autoSpaceDN/>
              <w:bidi w:val="0"/>
              <w:adjustRightInd w:val="0"/>
              <w:snapToGrid w:val="0"/>
              <w:spacing w:before="62" w:after="0" w:line="360" w:lineRule="auto"/>
              <w:ind w:firstLine="480"/>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根据GB</w:t>
            </w:r>
            <w:r>
              <w:rPr>
                <w:rFonts w:hint="eastAsia" w:ascii="Times New Roman" w:hAnsi="Times New Roman" w:eastAsia="宋体" w:cs="Times New Roman"/>
                <w:b w:val="0"/>
                <w:color w:val="000000"/>
                <w:kern w:val="2"/>
                <w:sz w:val="24"/>
                <w:szCs w:val="24"/>
                <w:lang w:val="en-US" w:eastAsia="zh-CN" w:bidi="ar-SA"/>
              </w:rPr>
              <w:t xml:space="preserve"> </w:t>
            </w:r>
            <w:r>
              <w:rPr>
                <w:rFonts w:hint="default" w:ascii="Times New Roman" w:hAnsi="Times New Roman" w:eastAsia="宋体" w:cs="Times New Roman"/>
                <w:b w:val="0"/>
                <w:color w:val="000000"/>
                <w:kern w:val="2"/>
                <w:sz w:val="24"/>
                <w:szCs w:val="24"/>
                <w:lang w:val="en-US" w:eastAsia="zh-CN" w:bidi="ar-SA"/>
              </w:rPr>
              <w:t>12348-2008《工业企业厂界环境噪声排放标准》进行厂界噪声测量。监测时沿厂界设置4个测点，在昼间各测2次，连续测2天。</w:t>
            </w:r>
          </w:p>
          <w:p>
            <w:pPr>
              <w:pStyle w:val="2"/>
              <w:jc w:val="center"/>
              <w:rPr>
                <w:rFonts w:hint="eastAsia"/>
              </w:rPr>
            </w:pPr>
            <w:r>
              <w:drawing>
                <wp:inline distT="0" distB="0" distL="114300" distR="114300">
                  <wp:extent cx="5528945" cy="3820795"/>
                  <wp:effectExtent l="0" t="0" r="14605" b="825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3"/>
                          <a:stretch>
                            <a:fillRect/>
                          </a:stretch>
                        </pic:blipFill>
                        <pic:spPr>
                          <a:xfrm>
                            <a:off x="0" y="0"/>
                            <a:ext cx="5528945" cy="38207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cs="Times New Roman" w:eastAsiaTheme="minorEastAsia"/>
                <w:b w:val="0"/>
                <w:color w:val="000000"/>
                <w:sz w:val="24"/>
                <w:szCs w:val="24"/>
                <w:lang w:val="en-US" w:eastAsia="zh-CN" w:bidi="ar-SA"/>
              </w:rPr>
            </w:pPr>
            <w:bookmarkStart w:id="2" w:name="_Toc27084"/>
            <w:r>
              <w:rPr>
                <w:rFonts w:hint="default" w:ascii="Times New Roman" w:hAnsi="Times New Roman" w:cs="Times New Roman" w:eastAsiaTheme="minorEastAsia"/>
                <w:b w:val="0"/>
                <w:color w:val="000000"/>
                <w:sz w:val="24"/>
                <w:szCs w:val="24"/>
                <w:lang w:val="en-US" w:eastAsia="zh-CN" w:bidi="ar-SA"/>
              </w:rPr>
              <w:t>图</w:t>
            </w:r>
            <w:r>
              <w:rPr>
                <w:rFonts w:hint="eastAsia" w:ascii="Times New Roman" w:hAnsi="Times New Roman" w:cs="Times New Roman" w:eastAsiaTheme="minorEastAsia"/>
                <w:b w:val="0"/>
                <w:color w:val="000000"/>
                <w:sz w:val="24"/>
                <w:szCs w:val="24"/>
                <w:lang w:val="en-US" w:eastAsia="zh-CN" w:bidi="ar-SA"/>
              </w:rPr>
              <w:t>6</w:t>
            </w:r>
            <w:r>
              <w:rPr>
                <w:rFonts w:hint="default" w:ascii="Times New Roman" w:hAnsi="Times New Roman" w:cs="Times New Roman" w:eastAsiaTheme="minorEastAsia"/>
                <w:b w:val="0"/>
                <w:color w:val="000000"/>
                <w:sz w:val="24"/>
                <w:szCs w:val="24"/>
                <w:lang w:val="en-US" w:eastAsia="zh-CN" w:bidi="ar-SA"/>
              </w:rPr>
              <w:t>-1  监测点位示意图</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w:t>
            </w:r>
            <w:r>
              <w:rPr>
                <w:rFonts w:hint="default" w:ascii="Times New Roman" w:hAnsi="Times New Roman" w:eastAsia="宋体" w:cs="Times New Roman"/>
                <w:b/>
                <w:bCs/>
                <w:color w:val="000000"/>
                <w:kern w:val="2"/>
                <w:sz w:val="24"/>
                <w:szCs w:val="24"/>
                <w:lang w:val="en-US" w:eastAsia="zh-CN" w:bidi="ar-SA"/>
              </w:rPr>
              <w:t>、固废调查</w:t>
            </w:r>
            <w:bookmarkEnd w:id="2"/>
          </w:p>
          <w:p>
            <w:pPr>
              <w:keepNext w:val="0"/>
              <w:keepLines w:val="0"/>
              <w:pageBreakBefore w:val="0"/>
              <w:widowControl/>
              <w:kinsoku/>
              <w:wordWrap/>
              <w:overflowPunct/>
              <w:topLinePunct w:val="0"/>
              <w:autoSpaceDE/>
              <w:autoSpaceDN/>
              <w:bidi w:val="0"/>
              <w:adjustRightInd w:val="0"/>
              <w:snapToGrid w:val="0"/>
              <w:spacing w:after="0" w:line="440" w:lineRule="exact"/>
              <w:ind w:firstLine="480"/>
              <w:jc w:val="both"/>
              <w:textAlignment w:val="auto"/>
              <w:outlineLvl w:val="9"/>
              <w:rPr>
                <w:rFonts w:hint="eastAsia" w:eastAsia="仿宋_GB2312"/>
                <w:color w:val="000000"/>
                <w:sz w:val="21"/>
                <w:szCs w:val="21"/>
              </w:rPr>
            </w:pPr>
            <w:r>
              <w:rPr>
                <w:rFonts w:hint="default" w:ascii="Times New Roman" w:hAnsi="Times New Roman" w:eastAsia="宋体" w:cs="Times New Roman"/>
                <w:b w:val="0"/>
                <w:color w:val="000000"/>
                <w:kern w:val="2"/>
                <w:sz w:val="24"/>
                <w:szCs w:val="24"/>
                <w:lang w:val="en-US" w:eastAsia="zh-CN" w:bidi="ar-SA"/>
              </w:rPr>
              <w:t>调查企业对危险废物包装、贮存设施的选址、设计、运行、安全防护、监测和关闭等要求是否按照（GB</w:t>
            </w:r>
            <w:r>
              <w:rPr>
                <w:rFonts w:hint="eastAsia" w:ascii="Times New Roman" w:hAnsi="Times New Roman" w:eastAsia="宋体" w:cs="Times New Roman"/>
                <w:b w:val="0"/>
                <w:color w:val="000000"/>
                <w:kern w:val="2"/>
                <w:sz w:val="24"/>
                <w:szCs w:val="24"/>
                <w:lang w:val="en-US" w:eastAsia="zh-CN" w:bidi="ar-SA"/>
              </w:rPr>
              <w:t xml:space="preserve"> </w:t>
            </w:r>
            <w:r>
              <w:rPr>
                <w:rFonts w:hint="default" w:ascii="Times New Roman" w:hAnsi="Times New Roman" w:eastAsia="宋体" w:cs="Times New Roman"/>
                <w:b w:val="0"/>
                <w:color w:val="000000"/>
                <w:kern w:val="2"/>
                <w:sz w:val="24"/>
                <w:szCs w:val="24"/>
                <w:lang w:val="en-US" w:eastAsia="zh-CN" w:bidi="ar-SA"/>
              </w:rPr>
              <w:t>18597-2001）《危险废物贮存污染控制标准》的要求进行，以及对固废的处置情况</w:t>
            </w:r>
            <w:r>
              <w:rPr>
                <w:rFonts w:hint="eastAsia" w:ascii="Times New Roman" w:hAnsi="Times New Roman" w:eastAsia="宋体" w:cs="Times New Roman"/>
                <w:b w:val="0"/>
                <w:color w:val="000000"/>
                <w:kern w:val="2"/>
                <w:sz w:val="24"/>
                <w:szCs w:val="24"/>
                <w:lang w:val="en-US" w:eastAsia="zh-CN" w:bidi="ar-SA"/>
              </w:rPr>
              <w:t>。</w:t>
            </w:r>
          </w:p>
        </w:tc>
      </w:tr>
    </w:tbl>
    <w:p>
      <w:pPr>
        <w:keepNext w:val="0"/>
        <w:keepLines w:val="0"/>
        <w:pageBreakBefore w:val="0"/>
        <w:widowControl/>
        <w:kinsoku/>
        <w:wordWrap/>
        <w:overflowPunct/>
        <w:topLinePunct w:val="0"/>
        <w:autoSpaceDE/>
        <w:autoSpaceDN/>
        <w:bidi w:val="0"/>
        <w:adjustRightInd w:val="0"/>
        <w:snapToGrid w:val="0"/>
        <w:spacing w:after="0" w:afterLines="0" w:line="400" w:lineRule="exact"/>
        <w:textAlignment w:val="auto"/>
        <w:outlineLvl w:val="9"/>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七</w:t>
      </w:r>
      <w:r>
        <w:rPr>
          <w:rFonts w:hint="eastAsia" w:asciiTheme="minorEastAsia" w:hAnsiTheme="minorEastAsia" w:eastAsiaTheme="minorEastAsia" w:cstheme="minorEastAsia"/>
          <w:b/>
          <w:color w:val="000000"/>
          <w:sz w:val="32"/>
          <w:szCs w:val="32"/>
          <w:lang w:eastAsia="zh-CN"/>
        </w:rPr>
        <w:t>、验收监测结果</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96" w:hRule="atLeast"/>
          <w:jc w:val="center"/>
        </w:trPr>
        <w:tc>
          <w:tcPr>
            <w:tcW w:w="8924" w:type="dxa"/>
            <w:tcBorders/>
            <w:vAlign w:val="top"/>
          </w:tcPr>
          <w:p>
            <w:pPr>
              <w:keepNext w:val="0"/>
              <w:keepLines w:val="0"/>
              <w:pageBreakBefore w:val="0"/>
              <w:widowControl/>
              <w:kinsoku/>
              <w:wordWrap/>
              <w:overflowPunct/>
              <w:topLinePunct w:val="0"/>
              <w:autoSpaceDE/>
              <w:autoSpaceDN/>
              <w:bidi w:val="0"/>
              <w:adjustRightInd w:val="0"/>
              <w:snapToGrid w:val="0"/>
              <w:spacing w:after="0" w:line="420" w:lineRule="exact"/>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一、</w:t>
            </w:r>
            <w:r>
              <w:rPr>
                <w:rFonts w:hint="default" w:ascii="Times New Roman" w:hAnsi="Times New Roman" w:eastAsia="宋体" w:cs="Times New Roman"/>
                <w:b/>
                <w:bCs/>
                <w:color w:val="000000"/>
                <w:kern w:val="2"/>
                <w:sz w:val="24"/>
                <w:szCs w:val="24"/>
                <w:lang w:val="en-US" w:eastAsia="zh-CN" w:bidi="ar-SA"/>
              </w:rPr>
              <w:t>验收工况</w:t>
            </w:r>
          </w:p>
          <w:p>
            <w:pPr>
              <w:keepNext w:val="0"/>
              <w:keepLines w:val="0"/>
              <w:pageBreakBefore w:val="0"/>
              <w:widowControl/>
              <w:kinsoku/>
              <w:wordWrap/>
              <w:overflowPunct/>
              <w:topLinePunct w:val="0"/>
              <w:autoSpaceDE/>
              <w:autoSpaceDN/>
              <w:bidi w:val="0"/>
              <w:adjustRightInd w:val="0"/>
              <w:snapToGrid w:val="0"/>
              <w:spacing w:after="0" w:line="420" w:lineRule="exact"/>
              <w:ind w:firstLine="480"/>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监测期间，该公司各生产设备、环保设施正常运行，</w:t>
            </w:r>
            <w:r>
              <w:rPr>
                <w:rFonts w:hint="eastAsia" w:ascii="Times New Roman" w:hAnsi="Times New Roman" w:eastAsia="宋体" w:cs="Times New Roman"/>
                <w:b w:val="0"/>
                <w:color w:val="000000"/>
                <w:kern w:val="2"/>
                <w:sz w:val="24"/>
                <w:szCs w:val="24"/>
                <w:lang w:val="en-US" w:eastAsia="zh-CN" w:bidi="ar-SA"/>
              </w:rPr>
              <w:t>生产工况</w:t>
            </w:r>
            <w:r>
              <w:rPr>
                <w:rFonts w:hint="default" w:ascii="Times New Roman" w:hAnsi="Times New Roman" w:eastAsia="宋体" w:cs="Times New Roman"/>
                <w:b w:val="0"/>
                <w:color w:val="000000"/>
                <w:kern w:val="2"/>
                <w:sz w:val="24"/>
                <w:szCs w:val="24"/>
                <w:lang w:val="en-US" w:eastAsia="zh-CN" w:bidi="ar-SA"/>
              </w:rPr>
              <w:t>详见表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1。</w:t>
            </w:r>
          </w:p>
          <w:p>
            <w:pPr>
              <w:keepNext w:val="0"/>
              <w:keepLines w:val="0"/>
              <w:pageBreakBefore w:val="0"/>
              <w:widowControl/>
              <w:kinsoku/>
              <w:wordWrap/>
              <w:overflowPunct/>
              <w:topLinePunct w:val="0"/>
              <w:autoSpaceDE/>
              <w:autoSpaceDN/>
              <w:bidi w:val="0"/>
              <w:adjustRightInd w:val="0"/>
              <w:snapToGrid w:val="0"/>
              <w:spacing w:after="0" w:line="420" w:lineRule="exact"/>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1    监测期间产品工况表</w:t>
            </w:r>
          </w:p>
          <w:tbl>
            <w:tblPr>
              <w:tblStyle w:val="11"/>
              <w:tblW w:w="8310" w:type="dxa"/>
              <w:jc w:val="center"/>
              <w:tblInd w:w="-332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040"/>
              <w:gridCol w:w="1065"/>
              <w:gridCol w:w="1194"/>
              <w:gridCol w:w="1080"/>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产品名称</w:t>
                  </w: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时间</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实际产量</w:t>
                  </w:r>
                  <w:r>
                    <w:rPr>
                      <w:rFonts w:hint="eastAsia" w:ascii="Times New Roman" w:hAnsi="Times New Roman" w:eastAsia="宋体" w:cs="Times New Roman"/>
                      <w:b w:val="0"/>
                      <w:color w:val="000000"/>
                      <w:kern w:val="2"/>
                      <w:sz w:val="21"/>
                      <w:szCs w:val="21"/>
                      <w:lang w:val="en-US" w:eastAsia="zh-CN" w:bidi="ar-SA"/>
                    </w:rPr>
                    <w:t>（套/天）</w:t>
                  </w:r>
                </w:p>
              </w:tc>
              <w:tc>
                <w:tcPr>
                  <w:tcW w:w="227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环评设计产量</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生产</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负荷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高压负荷开关</w:t>
                  </w: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2018年</w:t>
                  </w:r>
                  <w:r>
                    <w:rPr>
                      <w:rFonts w:hint="default" w:ascii="Times New Roman" w:hAnsi="Times New Roman" w:eastAsia="宋体" w:cs="Times New Roman"/>
                      <w:b w:val="0"/>
                      <w:color w:val="auto"/>
                      <w:kern w:val="2"/>
                      <w:sz w:val="21"/>
                      <w:szCs w:val="21"/>
                      <w:lang w:val="en-US" w:eastAsia="zh-CN" w:bidi="ar-SA"/>
                    </w:rPr>
                    <w:t>0</w:t>
                  </w:r>
                  <w:r>
                    <w:rPr>
                      <w:rFonts w:hint="eastAsia" w:ascii="Times New Roman" w:hAnsi="Times New Roman" w:eastAsia="宋体" w:cs="Times New Roman"/>
                      <w:b w:val="0"/>
                      <w:color w:val="auto"/>
                      <w:kern w:val="2"/>
                      <w:sz w:val="21"/>
                      <w:szCs w:val="21"/>
                      <w:lang w:val="en-US" w:eastAsia="zh-CN" w:bidi="ar-SA"/>
                    </w:rPr>
                    <w:t>8</w:t>
                  </w:r>
                  <w:r>
                    <w:rPr>
                      <w:rFonts w:hint="default" w:ascii="Times New Roman" w:hAnsi="Times New Roman" w:eastAsia="宋体" w:cs="Times New Roman"/>
                      <w:b w:val="0"/>
                      <w:color w:val="auto"/>
                      <w:kern w:val="2"/>
                      <w:sz w:val="21"/>
                      <w:szCs w:val="21"/>
                      <w:lang w:val="en-US" w:eastAsia="zh-CN" w:bidi="ar-SA"/>
                    </w:rPr>
                    <w:t>月</w:t>
                  </w:r>
                  <w:r>
                    <w:rPr>
                      <w:rFonts w:hint="eastAsia" w:ascii="Times New Roman" w:hAnsi="Times New Roman" w:eastAsia="宋体" w:cs="Times New Roman"/>
                      <w:b w:val="0"/>
                      <w:color w:val="auto"/>
                      <w:kern w:val="2"/>
                      <w:sz w:val="21"/>
                      <w:szCs w:val="21"/>
                      <w:lang w:val="en-US" w:eastAsia="zh-CN" w:bidi="ar-SA"/>
                    </w:rPr>
                    <w:t>22</w:t>
                  </w:r>
                  <w:r>
                    <w:rPr>
                      <w:rFonts w:hint="default" w:ascii="Times New Roman" w:hAnsi="Times New Roman" w:eastAsia="宋体" w:cs="Times New Roman"/>
                      <w:b w:val="0"/>
                      <w:color w:val="auto"/>
                      <w:kern w:val="2"/>
                      <w:sz w:val="21"/>
                      <w:szCs w:val="21"/>
                      <w:lang w:val="en-US" w:eastAsia="zh-CN" w:bidi="ar-SA"/>
                    </w:rPr>
                    <w:t>日</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14套/天</w:t>
                  </w:r>
                </w:p>
              </w:tc>
              <w:tc>
                <w:tcPr>
                  <w:tcW w:w="11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5000套/年</w:t>
                  </w:r>
                </w:p>
              </w:tc>
              <w:tc>
                <w:tcPr>
                  <w:tcW w:w="10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pPr>
                  <w:r>
                    <w:rPr>
                      <w:rFonts w:hint="eastAsia" w:ascii="Times New Roman" w:hAnsi="Times New Roman" w:eastAsia="宋体" w:cs="Times New Roman"/>
                      <w:b w:val="0"/>
                      <w:color w:val="auto"/>
                      <w:kern w:val="2"/>
                      <w:sz w:val="21"/>
                      <w:szCs w:val="21"/>
                      <w:highlight w:val="none"/>
                      <w:shd w:val="clear" w:color="auto" w:fill="auto"/>
                      <w:lang w:val="en-US" w:eastAsia="zh-CN" w:bidi="ar-SA"/>
                    </w:rPr>
                    <w:t>16套/天</w:t>
                  </w: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2018年</w:t>
                  </w:r>
                  <w:r>
                    <w:rPr>
                      <w:rFonts w:hint="default" w:ascii="Times New Roman" w:hAnsi="Times New Roman" w:eastAsia="宋体" w:cs="Times New Roman"/>
                      <w:b w:val="0"/>
                      <w:color w:val="auto"/>
                      <w:kern w:val="2"/>
                      <w:sz w:val="21"/>
                      <w:szCs w:val="21"/>
                      <w:lang w:val="en-US" w:eastAsia="zh-CN" w:bidi="ar-SA"/>
                    </w:rPr>
                    <w:t>0</w:t>
                  </w:r>
                  <w:r>
                    <w:rPr>
                      <w:rFonts w:hint="eastAsia" w:ascii="Times New Roman" w:hAnsi="Times New Roman" w:eastAsia="宋体" w:cs="Times New Roman"/>
                      <w:b w:val="0"/>
                      <w:color w:val="auto"/>
                      <w:kern w:val="2"/>
                      <w:sz w:val="21"/>
                      <w:szCs w:val="21"/>
                      <w:lang w:val="en-US" w:eastAsia="zh-CN" w:bidi="ar-SA"/>
                    </w:rPr>
                    <w:t>8</w:t>
                  </w:r>
                  <w:r>
                    <w:rPr>
                      <w:rFonts w:hint="default" w:ascii="Times New Roman" w:hAnsi="Times New Roman" w:eastAsia="宋体" w:cs="Times New Roman"/>
                      <w:b w:val="0"/>
                      <w:color w:val="auto"/>
                      <w:kern w:val="2"/>
                      <w:sz w:val="21"/>
                      <w:szCs w:val="21"/>
                      <w:lang w:val="en-US" w:eastAsia="zh-CN" w:bidi="ar-SA"/>
                    </w:rPr>
                    <w:t>月</w:t>
                  </w:r>
                  <w:r>
                    <w:rPr>
                      <w:rFonts w:hint="eastAsia" w:ascii="Times New Roman" w:hAnsi="Times New Roman" w:eastAsia="宋体" w:cs="Times New Roman"/>
                      <w:b w:val="0"/>
                      <w:color w:val="auto"/>
                      <w:kern w:val="2"/>
                      <w:sz w:val="21"/>
                      <w:szCs w:val="21"/>
                      <w:lang w:val="en-US" w:eastAsia="zh-CN" w:bidi="ar-SA"/>
                    </w:rPr>
                    <w:t>23</w:t>
                  </w:r>
                  <w:r>
                    <w:rPr>
                      <w:rFonts w:hint="default" w:ascii="Times New Roman" w:hAnsi="Times New Roman" w:eastAsia="宋体" w:cs="Times New Roman"/>
                      <w:b w:val="0"/>
                      <w:color w:val="auto"/>
                      <w:kern w:val="2"/>
                      <w:sz w:val="21"/>
                      <w:szCs w:val="21"/>
                      <w:lang w:val="en-US" w:eastAsia="zh-CN" w:bidi="ar-SA"/>
                    </w:rPr>
                    <w:t>日</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15套/天</w:t>
                  </w:r>
                </w:p>
              </w:tc>
              <w:tc>
                <w:tcPr>
                  <w:tcW w:w="1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p>
              </w:tc>
              <w:tc>
                <w:tcPr>
                  <w:tcW w:w="10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pPr>
                </w:p>
              </w:tc>
              <w:tc>
                <w:tcPr>
                  <w:tcW w:w="1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93.8%</w:t>
                  </w:r>
                </w:p>
              </w:tc>
            </w:tr>
          </w:tbl>
          <w:p>
            <w:pPr>
              <w:keepNext w:val="0"/>
              <w:keepLines w:val="0"/>
              <w:pageBreakBefore w:val="0"/>
              <w:widowControl/>
              <w:kinsoku/>
              <w:wordWrap/>
              <w:overflowPunct/>
              <w:topLinePunct w:val="0"/>
              <w:autoSpaceDE/>
              <w:autoSpaceDN/>
              <w:bidi w:val="0"/>
              <w:adjustRightInd w:val="0"/>
              <w:snapToGrid w:val="0"/>
              <w:spacing w:after="0" w:line="420" w:lineRule="exact"/>
              <w:ind w:firstLine="482"/>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由上表可知，根据现场调查及企业提供资料，监测期间该公司产品的生产负荷满足测试要求。</w:t>
            </w:r>
          </w:p>
          <w:p>
            <w:pPr>
              <w:keepNext w:val="0"/>
              <w:keepLines w:val="0"/>
              <w:pageBreakBefore w:val="0"/>
              <w:widowControl/>
              <w:kinsoku/>
              <w:wordWrap/>
              <w:overflowPunct/>
              <w:topLinePunct w:val="0"/>
              <w:autoSpaceDE/>
              <w:autoSpaceDN/>
              <w:bidi w:val="0"/>
              <w:adjustRightInd w:val="0"/>
              <w:snapToGrid w:val="0"/>
              <w:spacing w:after="0" w:line="420" w:lineRule="exact"/>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bCs/>
                <w:color w:val="000000"/>
                <w:kern w:val="2"/>
                <w:sz w:val="24"/>
                <w:szCs w:val="24"/>
                <w:lang w:val="en-US" w:eastAsia="zh-CN" w:bidi="ar-SA"/>
              </w:rPr>
              <w:t>二、验收监测结果</w:t>
            </w:r>
          </w:p>
          <w:p>
            <w:pPr>
              <w:keepNext w:val="0"/>
              <w:keepLines w:val="0"/>
              <w:pageBreakBefore w:val="0"/>
              <w:widowControl/>
              <w:kinsoku/>
              <w:wordWrap/>
              <w:overflowPunct/>
              <w:topLinePunct w:val="0"/>
              <w:autoSpaceDE/>
              <w:autoSpaceDN/>
              <w:bidi w:val="0"/>
              <w:adjustRightInd w:val="0"/>
              <w:snapToGrid w:val="0"/>
              <w:spacing w:after="0" w:line="420" w:lineRule="exact"/>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1</w:t>
            </w:r>
            <w:r>
              <w:rPr>
                <w:rFonts w:hint="default" w:ascii="Times New Roman" w:hAnsi="Times New Roman" w:eastAsia="宋体" w:cs="Times New Roman"/>
                <w:b w:val="0"/>
                <w:color w:val="000000"/>
                <w:kern w:val="2"/>
                <w:sz w:val="24"/>
                <w:szCs w:val="24"/>
                <w:lang w:val="en-US" w:eastAsia="zh-CN" w:bidi="ar-SA"/>
              </w:rPr>
              <w:t>、噪声</w:t>
            </w:r>
          </w:p>
          <w:p>
            <w:pPr>
              <w:keepNext w:val="0"/>
              <w:keepLines w:val="0"/>
              <w:pageBreakBefore w:val="0"/>
              <w:widowControl/>
              <w:kinsoku/>
              <w:wordWrap/>
              <w:overflowPunct/>
              <w:topLinePunct w:val="0"/>
              <w:autoSpaceDE/>
              <w:autoSpaceDN/>
              <w:bidi w:val="0"/>
              <w:adjustRightInd w:val="0"/>
              <w:snapToGrid w:val="0"/>
              <w:spacing w:before="62" w:after="0" w:line="420" w:lineRule="exact"/>
              <w:ind w:firstLine="480"/>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噪声监测结果见表</w:t>
            </w:r>
            <w:r>
              <w:rPr>
                <w:rFonts w:hint="eastAsia" w:ascii="Times New Roman" w:hAnsi="Times New Roman" w:eastAsia="宋体" w:cs="Times New Roman"/>
                <w:b w:val="0"/>
                <w:color w:val="000000"/>
                <w:kern w:val="2"/>
                <w:sz w:val="24"/>
                <w:szCs w:val="24"/>
                <w:lang w:val="en-US" w:eastAsia="zh-CN" w:bidi="ar-SA"/>
              </w:rPr>
              <w:t>7-2</w:t>
            </w:r>
            <w:r>
              <w:rPr>
                <w:rFonts w:hint="default" w:ascii="Times New Roman" w:hAnsi="Times New Roman" w:eastAsia="宋体" w:cs="Times New Roman"/>
                <w:b w:val="0"/>
                <w:color w:val="000000"/>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20" w:lineRule="exact"/>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7-2</w:t>
            </w:r>
            <w:r>
              <w:rPr>
                <w:rFonts w:hint="default" w:ascii="Times New Roman" w:hAnsi="Times New Roman" w:eastAsia="宋体" w:cs="Times New Roman"/>
                <w:b w:val="0"/>
                <w:color w:val="000000"/>
                <w:kern w:val="2"/>
                <w:sz w:val="24"/>
                <w:szCs w:val="24"/>
                <w:lang w:val="en-US" w:eastAsia="zh-CN" w:bidi="ar-SA"/>
              </w:rPr>
              <w:t xml:space="preserve">   厂界噪声监测汇总表</w:t>
            </w:r>
            <w:r>
              <w:rPr>
                <w:rFonts w:hint="eastAsia" w:ascii="Times New Roman" w:hAnsi="Times New Roman" w:eastAsia="宋体" w:cs="Times New Roman"/>
                <w:b w:val="0"/>
                <w:color w:val="000000"/>
                <w:kern w:val="2"/>
                <w:sz w:val="24"/>
                <w:szCs w:val="24"/>
                <w:lang w:val="en-US" w:eastAsia="zh-CN" w:bidi="ar-SA"/>
              </w:rPr>
              <w:t xml:space="preserve">       单位：dB(A)</w:t>
            </w:r>
          </w:p>
          <w:tbl>
            <w:tblPr>
              <w:tblStyle w:val="11"/>
              <w:tblW w:w="8504"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59"/>
              <w:gridCol w:w="1862"/>
              <w:gridCol w:w="1480"/>
              <w:gridCol w:w="1351"/>
              <w:gridCol w:w="23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5" w:hRule="exact"/>
              </w:trPr>
              <w:tc>
                <w:tcPr>
                  <w:tcW w:w="1459"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监测日期</w:t>
                  </w:r>
                </w:p>
              </w:tc>
              <w:tc>
                <w:tcPr>
                  <w:tcW w:w="1862"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测点位置</w:t>
                  </w:r>
                </w:p>
              </w:tc>
              <w:tc>
                <w:tcPr>
                  <w:tcW w:w="148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主要声源</w:t>
                  </w:r>
                </w:p>
              </w:tc>
              <w:tc>
                <w:tcPr>
                  <w:tcW w:w="135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测量时间</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测量值Leq （dB）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2018年8月22日</w:t>
                  </w: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厂界东▲1</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13:31</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厂界南▲2</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13:35</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厂界西▲3</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13:38</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厂界北▲4</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13:40</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2018年8月23日</w:t>
                  </w: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厂界东▲1</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10:40</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厂界南▲2</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10:43</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厂界西▲3</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10:45</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exact"/>
              </w:trPr>
              <w:tc>
                <w:tcPr>
                  <w:tcW w:w="145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p>
              </w:tc>
              <w:tc>
                <w:tcPr>
                  <w:tcW w:w="1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厂界北▲4</w:t>
                  </w:r>
                  <w:r>
                    <w:rPr>
                      <w:rFonts w:hint="default" w:ascii="Times New Roman" w:hAnsi="Times New Roman" w:eastAsia="宋体" w:cs="Times New Roman"/>
                      <w:sz w:val="21"/>
                      <w:szCs w:val="21"/>
                      <w:vertAlign w:val="superscript"/>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10:49</w:t>
                  </w:r>
                </w:p>
              </w:tc>
              <w:tc>
                <w:tcPr>
                  <w:tcW w:w="23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56.5</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before="62" w:after="0" w:line="420" w:lineRule="exact"/>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2、</w:t>
            </w:r>
            <w:r>
              <w:rPr>
                <w:rFonts w:hint="default" w:ascii="Times New Roman" w:hAnsi="Times New Roman" w:eastAsia="宋体" w:cs="Times New Roman"/>
                <w:b w:val="0"/>
                <w:color w:val="000000"/>
                <w:kern w:val="2"/>
                <w:sz w:val="24"/>
                <w:szCs w:val="24"/>
                <w:lang w:val="en-US" w:eastAsia="zh-CN" w:bidi="ar-SA"/>
              </w:rPr>
              <w:t>固废调查</w:t>
            </w:r>
            <w:r>
              <w:rPr>
                <w:rFonts w:hint="eastAsia" w:ascii="Times New Roman" w:hAnsi="Times New Roman" w:eastAsia="宋体" w:cs="Times New Roman"/>
                <w:b w:val="0"/>
                <w:color w:val="000000"/>
                <w:kern w:val="2"/>
                <w:sz w:val="24"/>
                <w:szCs w:val="24"/>
                <w:lang w:val="en-US" w:eastAsia="zh-CN" w:bidi="ar-SA"/>
              </w:rPr>
              <w:t>结果</w:t>
            </w:r>
          </w:p>
          <w:p>
            <w:pPr>
              <w:keepNext w:val="0"/>
              <w:keepLines w:val="0"/>
              <w:pageBreakBefore w:val="0"/>
              <w:widowControl/>
              <w:kinsoku/>
              <w:wordWrap/>
              <w:overflowPunct/>
              <w:topLinePunct w:val="0"/>
              <w:autoSpaceDE/>
              <w:autoSpaceDN/>
              <w:bidi w:val="0"/>
              <w:adjustRightInd w:val="0"/>
              <w:snapToGrid w:val="0"/>
              <w:spacing w:after="0" w:line="420" w:lineRule="exact"/>
              <w:ind w:firstLine="480" w:firstLineChars="200"/>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该项目</w:t>
            </w:r>
            <w:r>
              <w:rPr>
                <w:rFonts w:hint="eastAsia" w:ascii="Times New Roman" w:hAnsi="Times New Roman" w:eastAsia="宋体" w:cs="Times New Roman"/>
                <w:b w:val="0"/>
                <w:color w:val="000000"/>
                <w:sz w:val="24"/>
                <w:szCs w:val="24"/>
                <w:lang w:val="en-US" w:eastAsia="zh-CN" w:bidi="ar-SA"/>
              </w:rPr>
              <w:t>产生的固废主要为</w:t>
            </w:r>
            <w:r>
              <w:rPr>
                <w:rFonts w:hint="default" w:ascii="Times New Roman" w:hAnsi="Times New Roman" w:eastAsia="宋体" w:cs="Times New Roman"/>
                <w:b w:val="0"/>
                <w:color w:val="000000"/>
                <w:sz w:val="24"/>
                <w:szCs w:val="24"/>
                <w:lang w:val="en-US" w:eastAsia="zh-CN" w:bidi="ar-SA"/>
              </w:rPr>
              <w:t>生活垃圾、</w:t>
            </w:r>
            <w:r>
              <w:rPr>
                <w:rFonts w:hint="eastAsia" w:ascii="Times New Roman" w:hAnsi="Times New Roman" w:eastAsia="宋体" w:cs="Times New Roman"/>
                <w:b w:val="0"/>
                <w:color w:val="000000"/>
                <w:sz w:val="24"/>
                <w:szCs w:val="24"/>
                <w:lang w:val="en-US" w:eastAsia="zh-CN" w:bidi="ar-SA"/>
              </w:rPr>
              <w:t>金属边角料、废乳化液</w:t>
            </w:r>
            <w:r>
              <w:rPr>
                <w:rFonts w:hint="default" w:ascii="Times New Roman" w:hAnsi="Times New Roman" w:eastAsia="宋体" w:cs="Times New Roman"/>
                <w:b w:val="0"/>
                <w:color w:val="000000"/>
                <w:sz w:val="24"/>
                <w:szCs w:val="24"/>
                <w:lang w:val="en-US" w:eastAsia="zh-CN" w:bidi="ar-SA"/>
              </w:rPr>
              <w:t>。详情见表</w:t>
            </w:r>
            <w:r>
              <w:rPr>
                <w:rFonts w:hint="eastAsia" w:ascii="Times New Roman" w:hAnsi="Times New Roman" w:eastAsia="宋体" w:cs="Times New Roman"/>
                <w:b w:val="0"/>
                <w:color w:val="000000"/>
                <w:sz w:val="24"/>
                <w:szCs w:val="24"/>
                <w:lang w:val="en-US" w:eastAsia="zh-CN" w:bidi="ar-SA"/>
              </w:rPr>
              <w:t>7-3</w:t>
            </w:r>
            <w:r>
              <w:rPr>
                <w:rFonts w:hint="default" w:ascii="Times New Roman" w:hAnsi="Times New Roman" w:eastAsia="宋体" w:cs="Times New Roman"/>
                <w:b w:val="0"/>
                <w:color w:val="00000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20" w:lineRule="exact"/>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7-3</w:t>
            </w:r>
            <w:r>
              <w:rPr>
                <w:rFonts w:hint="default" w:ascii="Times New Roman" w:hAnsi="Times New Roman" w:eastAsia="宋体" w:cs="Times New Roman"/>
                <w:b w:val="0"/>
                <w:color w:val="000000"/>
                <w:kern w:val="2"/>
                <w:sz w:val="24"/>
                <w:szCs w:val="24"/>
                <w:lang w:val="en-US" w:eastAsia="zh-CN" w:bidi="ar-SA"/>
              </w:rPr>
              <w:t xml:space="preserve">  固废产生情况及处置方式一览表   单位：t/a</w:t>
            </w:r>
          </w:p>
          <w:tbl>
            <w:tblPr>
              <w:tblStyle w:val="11"/>
              <w:tblW w:w="8752"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140"/>
              <w:gridCol w:w="1215"/>
              <w:gridCol w:w="1275"/>
              <w:gridCol w:w="780"/>
              <w:gridCol w:w="1740"/>
              <w:gridCol w:w="21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固废名称</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属性</w:t>
                  </w:r>
                </w:p>
              </w:tc>
              <w:tc>
                <w:tcPr>
                  <w:tcW w:w="12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废物代码</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外排</w:t>
                  </w:r>
                  <w:r>
                    <w:rPr>
                      <w:rFonts w:hint="default" w:ascii="Times New Roman" w:hAnsi="Times New Roman" w:eastAsia="宋体" w:cs="Times New Roman"/>
                      <w:bCs/>
                      <w:color w:val="auto"/>
                      <w:sz w:val="21"/>
                      <w:szCs w:val="21"/>
                      <w:highlight w:val="none"/>
                    </w:rPr>
                    <w:t>量(t/a)</w:t>
                  </w:r>
                </w:p>
              </w:tc>
              <w:tc>
                <w:tcPr>
                  <w:tcW w:w="17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环评要求</w:t>
                  </w:r>
                </w:p>
              </w:tc>
              <w:tc>
                <w:tcPr>
                  <w:tcW w:w="2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生活垃圾</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2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7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由当地环卫部门统一清运</w:t>
                  </w:r>
                </w:p>
              </w:tc>
              <w:tc>
                <w:tcPr>
                  <w:tcW w:w="2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由当地环卫部门统一清运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边角料</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2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7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eastAsia="zh-CN"/>
                    </w:rPr>
                    <w:t>外售资源回收公司综合利用</w:t>
                  </w:r>
                </w:p>
              </w:tc>
              <w:tc>
                <w:tcPr>
                  <w:tcW w:w="2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外售资源回收公司综合利用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废乳化液</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危险固废</w:t>
                  </w:r>
                </w:p>
              </w:tc>
              <w:tc>
                <w:tcPr>
                  <w:tcW w:w="12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HW09</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900-006-09</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7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妥善收集后委托由危废处理资质的单位做无害化安全处置</w:t>
                  </w:r>
                </w:p>
              </w:tc>
              <w:tc>
                <w:tcPr>
                  <w:tcW w:w="2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妥善收集后委托由危废处理资质的单位做无害化安全处置</w:t>
                  </w:r>
                </w:p>
              </w:tc>
            </w:tr>
          </w:tbl>
          <w:p>
            <w:pPr>
              <w:keepNext w:val="0"/>
              <w:keepLines w:val="0"/>
              <w:pageBreakBefore w:val="0"/>
              <w:widowControl/>
              <w:kinsoku/>
              <w:wordWrap/>
              <w:overflowPunct/>
              <w:topLinePunct w:val="0"/>
              <w:autoSpaceDE/>
              <w:autoSpaceDN/>
              <w:bidi w:val="0"/>
              <w:adjustRightInd w:val="0"/>
              <w:snapToGrid w:val="0"/>
              <w:spacing w:after="0" w:line="440" w:lineRule="exact"/>
              <w:jc w:val="both"/>
              <w:textAlignment w:val="auto"/>
              <w:outlineLvl w:val="9"/>
              <w:rPr>
                <w:rFonts w:hint="default" w:ascii="Times New Roman" w:hAnsi="Times New Roman" w:eastAsia="宋体" w:cs="Times New Roman"/>
                <w:b w:val="0"/>
                <w:color w:val="000000"/>
                <w:kern w:val="2"/>
                <w:sz w:val="24"/>
                <w:szCs w:val="24"/>
                <w:lang w:val="en-US" w:eastAsia="zh-CN" w:bidi="ar-SA"/>
              </w:rPr>
            </w:pPr>
          </w:p>
        </w:tc>
      </w:tr>
    </w:tbl>
    <w:p>
      <w:pPr>
        <w:spacing w:after="0" w:afterLines="0" w:line="360" w:lineRule="auto"/>
        <w:rPr>
          <w:rFonts w:eastAsia="仿宋_GB2312"/>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八</w:t>
      </w:r>
      <w:r>
        <w:rPr>
          <w:rFonts w:hint="eastAsia" w:asciiTheme="minorEastAsia" w:hAnsiTheme="minorEastAsia" w:eastAsiaTheme="minorEastAsia" w:cstheme="minorEastAsia"/>
          <w:b/>
          <w:color w:val="000000"/>
          <w:sz w:val="32"/>
          <w:szCs w:val="32"/>
          <w:lang w:eastAsia="zh-CN"/>
        </w:rPr>
        <w:t>、验收监测结论</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39"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40" w:lineRule="exact"/>
              <w:jc w:val="both"/>
              <w:textAlignment w:val="auto"/>
              <w:outlineLvl w:val="9"/>
              <w:rPr>
                <w:rFonts w:hint="default" w:ascii="Times New Roman" w:hAnsi="Times New Roman" w:eastAsia="宋体" w:cs="Times New Roman"/>
                <w:b w:val="0"/>
                <w:color w:val="000000"/>
                <w:sz w:val="24"/>
                <w:szCs w:val="24"/>
                <w:lang w:val="en-US" w:eastAsia="zh-CN" w:bidi="ar-SA"/>
              </w:rPr>
            </w:pPr>
            <w:bookmarkStart w:id="3" w:name="_Toc32536"/>
            <w:r>
              <w:rPr>
                <w:rFonts w:hint="default" w:ascii="Times New Roman" w:hAnsi="Times New Roman" w:eastAsia="宋体" w:cs="Times New Roman"/>
                <w:b w:val="0"/>
                <w:bCs w:val="0"/>
                <w:color w:val="000000"/>
                <w:sz w:val="28"/>
                <w:lang w:val="en-US" w:eastAsia="zh-CN"/>
              </w:rPr>
              <w:t>一、</w:t>
            </w:r>
            <w:r>
              <w:rPr>
                <w:rFonts w:hint="default" w:ascii="Times New Roman" w:hAnsi="Times New Roman" w:eastAsia="宋体" w:cs="Times New Roman"/>
                <w:b w:val="0"/>
                <w:color w:val="000000"/>
                <w:sz w:val="24"/>
                <w:szCs w:val="24"/>
                <w:lang w:val="en-US" w:eastAsia="zh-CN" w:bidi="ar-SA"/>
              </w:rPr>
              <w:t>结论</w:t>
            </w:r>
            <w:bookmarkEnd w:id="3"/>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1、验收工况</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000000"/>
                <w:sz w:val="24"/>
                <w:szCs w:val="24"/>
                <w:lang w:val="en-US" w:eastAsia="zh-CN" w:bidi="ar-SA"/>
              </w:rPr>
              <w:t>监测期间，该公司产品的生产负荷及环保设施均在正常运行，产品的生产负荷达到验收监测工况大于等于75%的要求。</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2</w:t>
            </w:r>
            <w:r>
              <w:rPr>
                <w:rFonts w:hint="default" w:ascii="Times New Roman" w:hAnsi="Times New Roman" w:eastAsia="宋体" w:cs="Times New Roman"/>
                <w:b w:val="0"/>
                <w:color w:val="000000"/>
                <w:sz w:val="24"/>
                <w:szCs w:val="24"/>
                <w:lang w:val="en-US" w:eastAsia="zh-CN" w:bidi="ar-SA"/>
              </w:rPr>
              <w:t>、噪声监测结论</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监测期间</w:t>
            </w:r>
            <w:r>
              <w:rPr>
                <w:rFonts w:hint="eastAsia" w:ascii="Times New Roman" w:hAnsi="Times New Roman" w:eastAsia="宋体" w:cs="Times New Roman"/>
                <w:b w:val="0"/>
                <w:color w:val="000000"/>
                <w:sz w:val="24"/>
                <w:szCs w:val="24"/>
                <w:lang w:val="en-US" w:eastAsia="zh-CN" w:bidi="ar-SA"/>
              </w:rPr>
              <w:t>，三门县海威电气有限公司</w:t>
            </w:r>
            <w:r>
              <w:rPr>
                <w:rFonts w:hint="default" w:ascii="Times New Roman" w:hAnsi="Times New Roman" w:eastAsia="宋体" w:cs="Times New Roman"/>
                <w:b w:val="0"/>
                <w:color w:val="000000"/>
                <w:sz w:val="24"/>
                <w:szCs w:val="24"/>
                <w:lang w:val="en-US" w:eastAsia="zh-CN" w:bidi="ar-SA"/>
              </w:rPr>
              <w:t>厂界</w:t>
            </w:r>
            <w:r>
              <w:rPr>
                <w:rFonts w:hint="eastAsia" w:ascii="Times New Roman" w:hAnsi="Times New Roman" w:eastAsia="宋体" w:cs="Times New Roman"/>
                <w:b w:val="0"/>
                <w:color w:val="000000"/>
                <w:sz w:val="24"/>
                <w:szCs w:val="24"/>
                <w:lang w:val="en-US" w:eastAsia="zh-CN" w:bidi="ar-SA"/>
              </w:rPr>
              <w:t>各</w:t>
            </w:r>
            <w:r>
              <w:rPr>
                <w:rFonts w:hint="default" w:ascii="Times New Roman" w:hAnsi="Times New Roman" w:eastAsia="宋体" w:cs="Times New Roman"/>
                <w:b w:val="0"/>
                <w:color w:val="000000"/>
                <w:sz w:val="24"/>
                <w:szCs w:val="24"/>
                <w:lang w:val="en-US" w:eastAsia="zh-CN" w:bidi="ar-SA"/>
              </w:rPr>
              <w:t>测点昼</w:t>
            </w:r>
            <w:r>
              <w:rPr>
                <w:rFonts w:hint="eastAsia" w:ascii="Times New Roman" w:hAnsi="Times New Roman" w:eastAsia="宋体" w:cs="Times New Roman"/>
                <w:b w:val="0"/>
                <w:color w:val="000000"/>
                <w:sz w:val="24"/>
                <w:szCs w:val="24"/>
                <w:lang w:val="en-US" w:eastAsia="zh-CN" w:bidi="ar-SA"/>
              </w:rPr>
              <w:t>间</w:t>
            </w:r>
            <w:r>
              <w:rPr>
                <w:rFonts w:hint="default" w:ascii="Times New Roman" w:hAnsi="Times New Roman" w:eastAsia="宋体" w:cs="Times New Roman"/>
                <w:b w:val="0"/>
                <w:color w:val="000000"/>
                <w:sz w:val="24"/>
                <w:szCs w:val="24"/>
                <w:lang w:val="en-US" w:eastAsia="zh-CN" w:bidi="ar-SA"/>
              </w:rPr>
              <w:t>噪声测值均符合《工业企业厂界环境噪声排放标准》</w:t>
            </w:r>
            <w:r>
              <w:rPr>
                <w:rFonts w:hint="eastAsia" w:ascii="Times New Roman" w:hAnsi="Times New Roman" w:eastAsia="宋体" w:cs="Times New Roman"/>
                <w:b w:val="0"/>
                <w:color w:val="000000"/>
                <w:sz w:val="24"/>
                <w:szCs w:val="24"/>
                <w:lang w:val="en-US" w:eastAsia="zh-CN" w:bidi="ar-SA"/>
              </w:rPr>
              <w:t>（</w:t>
            </w:r>
            <w:r>
              <w:rPr>
                <w:rFonts w:hint="default" w:ascii="Times New Roman" w:hAnsi="Times New Roman" w:eastAsia="宋体" w:cs="Times New Roman"/>
                <w:b w:val="0"/>
                <w:color w:val="000000"/>
                <w:sz w:val="24"/>
                <w:szCs w:val="24"/>
                <w:lang w:val="en-US" w:eastAsia="zh-CN" w:bidi="ar-SA"/>
              </w:rPr>
              <w:t>GB</w:t>
            </w:r>
            <w:r>
              <w:rPr>
                <w:rFonts w:hint="eastAsia" w:ascii="Times New Roman" w:hAnsi="Times New Roman" w:eastAsia="宋体" w:cs="Times New Roman"/>
                <w:b w:val="0"/>
                <w:color w:val="000000"/>
                <w:sz w:val="24"/>
                <w:szCs w:val="24"/>
                <w:lang w:val="en-US" w:eastAsia="zh-CN" w:bidi="ar-SA"/>
              </w:rPr>
              <w:t xml:space="preserve"> </w:t>
            </w:r>
            <w:r>
              <w:rPr>
                <w:rFonts w:hint="default" w:ascii="Times New Roman" w:hAnsi="Times New Roman" w:eastAsia="宋体" w:cs="Times New Roman"/>
                <w:b w:val="0"/>
                <w:color w:val="000000"/>
                <w:sz w:val="24"/>
                <w:szCs w:val="24"/>
                <w:lang w:val="en-US" w:eastAsia="zh-CN" w:bidi="ar-SA"/>
              </w:rPr>
              <w:t>12348-2008</w:t>
            </w:r>
            <w:r>
              <w:rPr>
                <w:rFonts w:hint="eastAsia" w:ascii="Times New Roman" w:hAnsi="Times New Roman" w:eastAsia="宋体" w:cs="Times New Roman"/>
                <w:b w:val="0"/>
                <w:color w:val="000000"/>
                <w:sz w:val="24"/>
                <w:szCs w:val="24"/>
                <w:lang w:val="en-US" w:eastAsia="zh-CN" w:bidi="ar-SA"/>
              </w:rPr>
              <w:t>）2</w:t>
            </w:r>
            <w:r>
              <w:rPr>
                <w:rFonts w:hint="default" w:ascii="Times New Roman" w:hAnsi="Times New Roman" w:eastAsia="宋体" w:cs="Times New Roman"/>
                <w:b w:val="0"/>
                <w:color w:val="000000"/>
                <w:sz w:val="24"/>
                <w:szCs w:val="24"/>
                <w:lang w:val="en-US" w:eastAsia="zh-CN" w:bidi="ar-SA"/>
              </w:rPr>
              <w:t>类区标准。</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3</w:t>
            </w:r>
            <w:r>
              <w:rPr>
                <w:rFonts w:hint="default" w:ascii="Times New Roman" w:hAnsi="Times New Roman" w:eastAsia="宋体" w:cs="Times New Roman"/>
                <w:b w:val="0"/>
                <w:color w:val="000000"/>
                <w:sz w:val="24"/>
                <w:szCs w:val="24"/>
                <w:lang w:val="en-US" w:eastAsia="zh-CN" w:bidi="ar-SA"/>
              </w:rPr>
              <w:t>、固体废弃物调查结论</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根据实地调查，该公司已按规定</w:t>
            </w:r>
            <w:bookmarkStart w:id="4" w:name="_Toc1706"/>
            <w:r>
              <w:rPr>
                <w:rFonts w:hint="eastAsia" w:ascii="Times New Roman" w:hAnsi="Times New Roman" w:eastAsia="宋体" w:cs="Times New Roman"/>
                <w:b w:val="0"/>
                <w:color w:val="000000"/>
                <w:sz w:val="24"/>
                <w:szCs w:val="24"/>
                <w:lang w:val="en-US" w:eastAsia="zh-CN" w:bidi="ar-SA"/>
              </w:rPr>
              <w:t>设置</w:t>
            </w:r>
            <w:r>
              <w:rPr>
                <w:rFonts w:hint="default" w:ascii="Times New Roman" w:hAnsi="Times New Roman" w:eastAsia="宋体" w:cs="Times New Roman"/>
                <w:b w:val="0"/>
                <w:color w:val="000000"/>
                <w:sz w:val="24"/>
                <w:szCs w:val="24"/>
                <w:lang w:val="en-US" w:eastAsia="zh-CN" w:bidi="ar-SA"/>
              </w:rPr>
              <w:t>危险固废设置1间危险固废仓库，为密闭单间，防风防雨，地面硬化处理，门口上锁并黏贴危废贮存场所标志牌及周知卡。该公司产生的危险固废委托资质单位代为处置。该公司对危险废物贮存设施的选址、设计、运行等基本符合（GB</w:t>
            </w:r>
            <w:r>
              <w:rPr>
                <w:rFonts w:hint="eastAsia" w:ascii="Times New Roman" w:hAnsi="Times New Roman" w:eastAsia="宋体" w:cs="Times New Roman"/>
                <w:b w:val="0"/>
                <w:color w:val="000000"/>
                <w:sz w:val="24"/>
                <w:szCs w:val="24"/>
                <w:lang w:val="en-US" w:eastAsia="zh-CN" w:bidi="ar-SA"/>
              </w:rPr>
              <w:t xml:space="preserve"> </w:t>
            </w:r>
            <w:r>
              <w:rPr>
                <w:rFonts w:hint="default" w:ascii="Times New Roman" w:hAnsi="Times New Roman" w:eastAsia="宋体" w:cs="Times New Roman"/>
                <w:b w:val="0"/>
                <w:color w:val="000000"/>
                <w:sz w:val="24"/>
                <w:szCs w:val="24"/>
                <w:lang w:val="en-US" w:eastAsia="zh-CN" w:bidi="ar-SA"/>
              </w:rPr>
              <w:t>18597-2001）《危险废物贮存污染控制标准》要求。该项目一般固废生活垃圾在厂区内设置多个室外塑料垃圾桶，由环卫部门定期清运。</w:t>
            </w:r>
            <w:r>
              <w:rPr>
                <w:rFonts w:hint="eastAsia" w:ascii="Times New Roman" w:hAnsi="Times New Roman" w:eastAsia="宋体" w:cs="Times New Roman"/>
                <w:b w:val="0"/>
                <w:color w:val="000000"/>
                <w:sz w:val="24"/>
                <w:szCs w:val="24"/>
                <w:lang w:val="en-US" w:eastAsia="zh-CN" w:bidi="ar-SA"/>
              </w:rPr>
              <w:t>金属边角料厂内收集后</w:t>
            </w:r>
            <w:r>
              <w:rPr>
                <w:rFonts w:hint="default" w:ascii="Times New Roman" w:hAnsi="Times New Roman" w:eastAsia="宋体" w:cs="Times New Roman"/>
                <w:b w:val="0"/>
                <w:color w:val="000000"/>
                <w:sz w:val="24"/>
                <w:szCs w:val="24"/>
                <w:lang w:val="en-US" w:eastAsia="zh-CN" w:bidi="ar-SA"/>
              </w:rPr>
              <w:t>外售综合利用。</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4</w:t>
            </w:r>
            <w:r>
              <w:rPr>
                <w:rFonts w:hint="default" w:ascii="Times New Roman" w:hAnsi="Times New Roman" w:eastAsia="宋体" w:cs="Times New Roman"/>
                <w:b w:val="0"/>
                <w:color w:val="000000"/>
                <w:sz w:val="24"/>
                <w:szCs w:val="24"/>
                <w:lang w:val="en-US" w:eastAsia="zh-CN" w:bidi="ar-SA"/>
              </w:rPr>
              <w:t>、总结论</w:t>
            </w:r>
            <w:bookmarkEnd w:id="4"/>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auto"/>
                <w:sz w:val="24"/>
                <w:szCs w:val="24"/>
                <w:lang w:val="en-US" w:eastAsia="zh-CN" w:bidi="ar-SA"/>
              </w:rPr>
            </w:pPr>
            <w:r>
              <w:rPr>
                <w:rFonts w:hint="eastAsia" w:ascii="Times New Roman" w:hAnsi="Times New Roman" w:eastAsia="宋体" w:cs="Times New Roman"/>
                <w:b w:val="0"/>
                <w:color w:val="auto"/>
                <w:sz w:val="24"/>
                <w:szCs w:val="24"/>
                <w:lang w:val="en-US" w:eastAsia="zh-CN" w:bidi="ar-SA"/>
              </w:rPr>
              <w:t>三门县海威电气有限公司</w:t>
            </w:r>
            <w:r>
              <w:rPr>
                <w:rFonts w:hint="default" w:ascii="Times New Roman" w:hAnsi="Times New Roman" w:eastAsia="宋体" w:cs="Times New Roman"/>
                <w:b w:val="0"/>
                <w:color w:val="auto"/>
                <w:sz w:val="24"/>
                <w:szCs w:val="24"/>
                <w:lang w:val="en-US" w:eastAsia="zh-CN" w:bidi="ar-SA"/>
              </w:rPr>
              <w:t>在项目建设的同时，针对生产过程中产生的</w:t>
            </w:r>
            <w:r>
              <w:rPr>
                <w:rFonts w:hint="eastAsia" w:ascii="Times New Roman" w:hAnsi="Times New Roman" w:eastAsia="宋体" w:cs="Times New Roman"/>
                <w:b w:val="0"/>
                <w:color w:val="auto"/>
                <w:sz w:val="24"/>
                <w:szCs w:val="24"/>
                <w:lang w:val="en-US" w:eastAsia="zh-CN" w:bidi="ar-SA"/>
              </w:rPr>
              <w:t>噪声、</w:t>
            </w:r>
            <w:r>
              <w:rPr>
                <w:rFonts w:hint="default" w:ascii="Times New Roman" w:hAnsi="Times New Roman" w:eastAsia="宋体" w:cs="Times New Roman"/>
                <w:b w:val="0"/>
                <w:color w:val="auto"/>
                <w:sz w:val="24"/>
                <w:szCs w:val="24"/>
                <w:lang w:val="en-US" w:eastAsia="zh-CN" w:bidi="ar-SA"/>
              </w:rPr>
              <w:t>固废</w:t>
            </w:r>
            <w:r>
              <w:rPr>
                <w:rFonts w:hint="eastAsia" w:ascii="Times New Roman" w:hAnsi="Times New Roman" w:eastAsia="宋体" w:cs="Times New Roman"/>
                <w:b w:val="0"/>
                <w:color w:val="auto"/>
                <w:sz w:val="24"/>
                <w:szCs w:val="24"/>
                <w:lang w:val="en-US" w:eastAsia="zh-CN" w:bidi="ar-SA"/>
              </w:rPr>
              <w:t>建设</w:t>
            </w:r>
            <w:r>
              <w:rPr>
                <w:rFonts w:hint="default" w:ascii="Times New Roman" w:hAnsi="Times New Roman" w:eastAsia="宋体" w:cs="Times New Roman"/>
                <w:b w:val="0"/>
                <w:color w:val="auto"/>
                <w:sz w:val="24"/>
                <w:szCs w:val="24"/>
                <w:lang w:val="en-US" w:eastAsia="zh-CN" w:bidi="ar-SA"/>
              </w:rPr>
              <w:t>了相应的环保设施。该项目产生的噪声排放达到国家相应排放标准</w:t>
            </w:r>
            <w:r>
              <w:rPr>
                <w:rFonts w:hint="eastAsia" w:ascii="Times New Roman" w:hAnsi="Times New Roman" w:eastAsia="宋体" w:cs="Times New Roman"/>
                <w:b w:val="0"/>
                <w:color w:val="auto"/>
                <w:sz w:val="24"/>
                <w:szCs w:val="24"/>
                <w:lang w:val="en-US" w:eastAsia="zh-CN" w:bidi="ar-SA"/>
              </w:rPr>
              <w:t>，固废收集、贮存及处置符合</w:t>
            </w:r>
            <w:r>
              <w:rPr>
                <w:rFonts w:hint="default" w:ascii="Times New Roman" w:hAnsi="Times New Roman" w:eastAsia="宋体" w:cs="Times New Roman"/>
                <w:b w:val="0"/>
                <w:color w:val="000000"/>
                <w:sz w:val="24"/>
                <w:szCs w:val="24"/>
                <w:lang w:val="en-US" w:eastAsia="zh-CN" w:bidi="ar-SA"/>
              </w:rPr>
              <w:t>（GB</w:t>
            </w:r>
            <w:r>
              <w:rPr>
                <w:rFonts w:hint="eastAsia" w:ascii="Times New Roman" w:hAnsi="Times New Roman" w:eastAsia="宋体" w:cs="Times New Roman"/>
                <w:b w:val="0"/>
                <w:color w:val="000000"/>
                <w:sz w:val="24"/>
                <w:szCs w:val="24"/>
                <w:lang w:val="en-US" w:eastAsia="zh-CN" w:bidi="ar-SA"/>
              </w:rPr>
              <w:t xml:space="preserve"> </w:t>
            </w:r>
            <w:r>
              <w:rPr>
                <w:rFonts w:hint="default" w:ascii="Times New Roman" w:hAnsi="Times New Roman" w:eastAsia="宋体" w:cs="Times New Roman"/>
                <w:b w:val="0"/>
                <w:color w:val="000000"/>
                <w:sz w:val="24"/>
                <w:szCs w:val="24"/>
                <w:lang w:val="en-US" w:eastAsia="zh-CN" w:bidi="ar-SA"/>
              </w:rPr>
              <w:t>18597-2001）《危险废物贮存污染控制标准》要求。</w:t>
            </w:r>
            <w:r>
              <w:rPr>
                <w:rFonts w:hint="default" w:ascii="Times New Roman" w:hAnsi="Times New Roman" w:eastAsia="宋体" w:cs="Times New Roman"/>
                <w:b w:val="0"/>
                <w:color w:val="auto"/>
                <w:sz w:val="24"/>
                <w:szCs w:val="24"/>
                <w:lang w:val="en-US" w:eastAsia="zh-CN" w:bidi="ar-SA"/>
              </w:rPr>
              <w:t>我公司认为</w:t>
            </w:r>
            <w:r>
              <w:rPr>
                <w:rFonts w:hint="eastAsia" w:ascii="Times New Roman" w:hAnsi="Times New Roman" w:eastAsia="宋体" w:cs="Times New Roman"/>
                <w:b w:val="0"/>
                <w:color w:val="auto"/>
                <w:sz w:val="24"/>
                <w:szCs w:val="24"/>
                <w:lang w:val="en-US" w:eastAsia="zh-CN" w:bidi="ar-SA"/>
              </w:rPr>
              <w:t>三门县海威电气有限公司</w:t>
            </w:r>
            <w:r>
              <w:rPr>
                <w:rFonts w:hint="default" w:ascii="Times New Roman" w:hAnsi="Times New Roman" w:eastAsia="宋体" w:cs="Times New Roman"/>
                <w:b w:val="0"/>
                <w:color w:val="auto"/>
                <w:sz w:val="24"/>
                <w:szCs w:val="24"/>
                <w:lang w:val="en-US" w:eastAsia="zh-CN" w:bidi="ar-SA"/>
              </w:rPr>
              <w:t>符合建设项目竣工环保设施验收条件，建议通过验收。</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5</w:t>
            </w:r>
            <w:r>
              <w:rPr>
                <w:rFonts w:hint="default" w:ascii="Times New Roman" w:hAnsi="Times New Roman" w:eastAsia="宋体" w:cs="Times New Roman"/>
                <w:b w:val="0"/>
                <w:color w:val="000000"/>
                <w:sz w:val="24"/>
                <w:szCs w:val="24"/>
                <w:lang w:val="en-US" w:eastAsia="zh-CN" w:bidi="ar-SA"/>
              </w:rPr>
              <w:t>、建议与措施</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（1）企业须进一步加强对现场的管理，特别是对环保设施、车间的管理，建立巡查制度，做好台账纪录，发现问题及时解决，确保污染物稳定达标排放；</w:t>
            </w:r>
          </w:p>
          <w:p>
            <w:pPr>
              <w:keepNext w:val="0"/>
              <w:keepLines w:val="0"/>
              <w:pageBreakBefore w:val="0"/>
              <w:widowControl/>
              <w:kinsoku/>
              <w:wordWrap/>
              <w:overflowPunct/>
              <w:topLinePunct w:val="0"/>
              <w:autoSpaceDE/>
              <w:autoSpaceDN/>
              <w:bidi w:val="0"/>
              <w:adjustRightInd w:val="0"/>
              <w:snapToGrid w:val="0"/>
              <w:spacing w:after="0" w:line="440" w:lineRule="exact"/>
              <w:ind w:firstLine="482"/>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（2）充分落实该项目环评及批复要求，严防环境污染事故发生，确保企业长效稳定发展；</w:t>
            </w:r>
          </w:p>
          <w:p>
            <w:pPr>
              <w:keepNext w:val="0"/>
              <w:keepLines w:val="0"/>
              <w:pageBreakBefore w:val="0"/>
              <w:widowControl/>
              <w:kinsoku/>
              <w:wordWrap/>
              <w:overflowPunct/>
              <w:topLinePunct w:val="0"/>
              <w:autoSpaceDE/>
              <w:autoSpaceDN/>
              <w:bidi w:val="0"/>
              <w:adjustRightInd w:val="0"/>
              <w:snapToGrid w:val="0"/>
              <w:spacing w:before="62" w:after="0" w:line="440" w:lineRule="exact"/>
              <w:ind w:firstLine="480"/>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w:t>
            </w:r>
            <w:r>
              <w:rPr>
                <w:rFonts w:hint="eastAsia" w:ascii="Times New Roman" w:hAnsi="Times New Roman" w:eastAsia="宋体" w:cs="Times New Roman"/>
                <w:b w:val="0"/>
                <w:color w:val="000000"/>
                <w:sz w:val="24"/>
                <w:szCs w:val="24"/>
                <w:lang w:val="en-US" w:eastAsia="zh-CN" w:bidi="ar-SA"/>
              </w:rPr>
              <w:t>3</w:t>
            </w:r>
            <w:r>
              <w:rPr>
                <w:rFonts w:hint="default" w:ascii="Times New Roman" w:hAnsi="Times New Roman" w:eastAsia="宋体" w:cs="Times New Roman"/>
                <w:b w:val="0"/>
                <w:color w:val="000000"/>
                <w:sz w:val="24"/>
                <w:szCs w:val="24"/>
                <w:lang w:val="en-US" w:eastAsia="zh-CN" w:bidi="ar-SA"/>
              </w:rPr>
              <w:t>）进一步加强对危险废物的管理，完善危废管理台帐；</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eastAsia="仿宋_GB2312"/>
                <w:color w:val="000000"/>
                <w:sz w:val="21"/>
                <w:szCs w:val="21"/>
                <w:highlight w:val="none"/>
              </w:rPr>
            </w:pPr>
            <w:r>
              <w:rPr>
                <w:rFonts w:hint="default" w:ascii="Times New Roman" w:hAnsi="Times New Roman" w:eastAsia="宋体" w:cs="Times New Roman"/>
                <w:b w:val="0"/>
                <w:color w:val="000000"/>
                <w:sz w:val="24"/>
                <w:szCs w:val="24"/>
                <w:lang w:val="en-US" w:eastAsia="zh-CN" w:bidi="ar-SA"/>
              </w:rPr>
              <w:t>（</w:t>
            </w:r>
            <w:r>
              <w:rPr>
                <w:rFonts w:hint="eastAsia" w:ascii="Times New Roman" w:hAnsi="Times New Roman" w:eastAsia="宋体" w:cs="Times New Roman"/>
                <w:b w:val="0"/>
                <w:color w:val="000000"/>
                <w:sz w:val="24"/>
                <w:szCs w:val="24"/>
                <w:lang w:val="en-US" w:eastAsia="zh-CN" w:bidi="ar-SA"/>
              </w:rPr>
              <w:t>4</w:t>
            </w:r>
            <w:r>
              <w:rPr>
                <w:rFonts w:hint="default" w:ascii="Times New Roman" w:hAnsi="Times New Roman" w:eastAsia="宋体" w:cs="Times New Roman"/>
                <w:b w:val="0"/>
                <w:color w:val="000000"/>
                <w:sz w:val="24"/>
                <w:szCs w:val="24"/>
                <w:lang w:val="en-US" w:eastAsia="zh-CN" w:bidi="ar-SA"/>
              </w:rPr>
              <w:t>）加强环保宣传，加强环保人员的责任心，建立长效的管理制度，重视环境保护，加强职工污染事故方面的学习和培训，并组织进行污染事故方面的演练。</w:t>
            </w:r>
          </w:p>
        </w:tc>
      </w:tr>
    </w:tbl>
    <w:p>
      <w:pPr>
        <w:pStyle w:val="14"/>
        <w:spacing w:before="0" w:beforeLines="0" w:beforeAutospacing="0" w:after="0" w:afterLines="0" w:afterAutospacing="0" w:line="360" w:lineRule="exact"/>
        <w:jc w:val="both"/>
        <w:outlineLvl w:val="0"/>
        <w:rPr>
          <w:b/>
          <w:color w:val="000000"/>
          <w:sz w:val="21"/>
          <w:szCs w:val="21"/>
          <w:highlight w:val="none"/>
        </w:rPr>
        <w:sectPr>
          <w:head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b/>
          <w:color w:val="000000"/>
          <w:sz w:val="21"/>
          <w:szCs w:val="21"/>
          <w:highlight w:val="none"/>
          <w:lang w:val="en-US" w:eastAsia="zh-CN"/>
        </w:rPr>
      </w:pPr>
      <w:r>
        <w:rPr>
          <w:rFonts w:hint="default" w:ascii="Times New Roman" w:hAnsi="Times New Roman" w:cs="Times New Roman"/>
          <w:b/>
          <w:bCs/>
          <w:sz w:val="28"/>
          <w:szCs w:val="28"/>
          <w:lang w:val="en-US" w:eastAsia="zh-CN"/>
        </w:rPr>
        <w:t>附件1</w:t>
      </w:r>
    </w:p>
    <w:p>
      <w:r>
        <w:drawing>
          <wp:inline distT="0" distB="0" distL="114300" distR="114300">
            <wp:extent cx="5271770" cy="7939405"/>
            <wp:effectExtent l="0" t="0" r="5080" b="444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4"/>
                    <a:stretch>
                      <a:fillRect/>
                    </a:stretch>
                  </pic:blipFill>
                  <pic:spPr>
                    <a:xfrm>
                      <a:off x="0" y="0"/>
                      <a:ext cx="5271770" cy="7939405"/>
                    </a:xfrm>
                    <a:prstGeom prst="rect">
                      <a:avLst/>
                    </a:prstGeom>
                    <a:noFill/>
                    <a:ln w="9525">
                      <a:noFill/>
                    </a:ln>
                  </pic:spPr>
                </pic:pic>
              </a:graphicData>
            </a:graphic>
          </wp:inline>
        </w:drawing>
      </w:r>
    </w:p>
    <w:p>
      <w:pPr>
        <w:pStyle w:val="2"/>
      </w:pPr>
    </w:p>
    <w:p>
      <w:pPr>
        <w:pStyle w:val="2"/>
      </w:pPr>
      <w:r>
        <w:drawing>
          <wp:inline distT="0" distB="0" distL="114300" distR="114300">
            <wp:extent cx="5270500" cy="8369300"/>
            <wp:effectExtent l="0" t="0" r="6350"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5270500" cy="8369300"/>
                    </a:xfrm>
                    <a:prstGeom prst="rect">
                      <a:avLst/>
                    </a:prstGeom>
                    <a:noFill/>
                    <a:ln w="9525">
                      <a:noFill/>
                    </a:ln>
                  </pic:spPr>
                </pic:pic>
              </a:graphicData>
            </a:graphic>
          </wp:inline>
        </w:drawing>
      </w:r>
    </w:p>
    <w:p>
      <w:pPr>
        <w:pStyle w:val="2"/>
      </w:pPr>
    </w:p>
    <w:p>
      <w:pPr>
        <w:pStyle w:val="2"/>
      </w:pPr>
      <w:r>
        <w:drawing>
          <wp:inline distT="0" distB="0" distL="114300" distR="114300">
            <wp:extent cx="5271135" cy="8413750"/>
            <wp:effectExtent l="0" t="0" r="5715"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6"/>
                    <a:stretch>
                      <a:fillRect/>
                    </a:stretch>
                  </pic:blipFill>
                  <pic:spPr>
                    <a:xfrm>
                      <a:off x="0" y="0"/>
                      <a:ext cx="5271135" cy="8413750"/>
                    </a:xfrm>
                    <a:prstGeom prst="rect">
                      <a:avLst/>
                    </a:prstGeom>
                    <a:noFill/>
                    <a:ln w="9525">
                      <a:noFill/>
                    </a:ln>
                  </pic:spPr>
                </pic:pic>
              </a:graphicData>
            </a:graphic>
          </wp:inline>
        </w:drawing>
      </w:r>
    </w:p>
    <w:p>
      <w:pPr>
        <w:pStyle w:val="2"/>
      </w:pPr>
    </w:p>
    <w:p>
      <w:pPr>
        <w:pStyle w:val="2"/>
      </w:pPr>
      <w:r>
        <w:drawing>
          <wp:inline distT="0" distB="0" distL="114300" distR="114300">
            <wp:extent cx="5270500" cy="8195310"/>
            <wp:effectExtent l="0" t="0" r="6350" b="1524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7"/>
                    <a:stretch>
                      <a:fillRect/>
                    </a:stretch>
                  </pic:blipFill>
                  <pic:spPr>
                    <a:xfrm>
                      <a:off x="0" y="0"/>
                      <a:ext cx="5270500" cy="8195310"/>
                    </a:xfrm>
                    <a:prstGeom prst="rect">
                      <a:avLst/>
                    </a:prstGeom>
                    <a:noFill/>
                    <a:ln w="9525">
                      <a:noFill/>
                    </a:ln>
                  </pic:spPr>
                </pic:pic>
              </a:graphicData>
            </a:graphic>
          </wp:inline>
        </w:drawing>
      </w:r>
    </w:p>
    <w:p>
      <w:pPr>
        <w:pStyle w:val="2"/>
      </w:pPr>
    </w:p>
    <w:p>
      <w:pPr>
        <w:pStyle w:val="2"/>
      </w:pPr>
    </w:p>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附件2</w:t>
      </w:r>
    </w:p>
    <w:p>
      <w:pPr>
        <w:pStyle w:val="2"/>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1774976" behindDoc="0" locked="0" layoutInCell="1" allowOverlap="1">
                <wp:simplePos x="0" y="0"/>
                <wp:positionH relativeFrom="column">
                  <wp:posOffset>4998720</wp:posOffset>
                </wp:positionH>
                <wp:positionV relativeFrom="paragraph">
                  <wp:posOffset>3416300</wp:posOffset>
                </wp:positionV>
                <wp:extent cx="1267460" cy="401955"/>
                <wp:effectExtent l="554355" t="821055" r="6985" b="15240"/>
                <wp:wrapNone/>
                <wp:docPr id="10" name="圆角矩形标注 10"/>
                <wp:cNvGraphicFramePr/>
                <a:graphic xmlns:a="http://schemas.openxmlformats.org/drawingml/2006/main">
                  <a:graphicData uri="http://schemas.microsoft.com/office/word/2010/wordprocessingShape">
                    <wps:wsp>
                      <wps:cNvSpPr/>
                      <wps:spPr>
                        <a:xfrm>
                          <a:off x="0" y="0"/>
                          <a:ext cx="1267460" cy="401955"/>
                        </a:xfrm>
                        <a:prstGeom prst="wedgeRoundRectCallout">
                          <a:avLst>
                            <a:gd name="adj1" fmla="val -90681"/>
                            <a:gd name="adj2" fmla="val -2454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pPr>
                            <w: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93.6pt;margin-top:269pt;height:31.65pt;width:99.8pt;z-index:251774976;v-text-anchor:middle;mso-width-relative:page;mso-height-relative:page;" fillcolor="#FFFFFF [3212]" filled="t" stroked="t" coordsize="21600,21600" o:gfxdata="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SRrmG1wAAAAsBAAAPAAAAAAAAAAEAIAAAACIAAABkcnMvZG93bnJl&#10;di54bWxQSwECFAAUAAAACACHTuJAy6YTNKkCAABIBQAADgAAAAAAAAABACAAAAAmAQAAZHJzL2Uy&#10;b0RvYy54bWxQSwUGAAAAAAYABgBZAQAAQQYAAAAA&#10;" adj="-8787,-42223,1440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pPr>
                      <w: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t>项目所在地</w:t>
                      </w:r>
                    </w:p>
                  </w:txbxContent>
                </v:textbox>
              </v:shape>
            </w:pict>
          </mc:Fallback>
        </mc:AlternateContent>
      </w:r>
      <w:r>
        <w:drawing>
          <wp:inline distT="0" distB="0" distL="114300" distR="114300">
            <wp:extent cx="8609330" cy="5142865"/>
            <wp:effectExtent l="0" t="0" r="1270" b="63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8"/>
                    <a:stretch>
                      <a:fillRect/>
                    </a:stretch>
                  </pic:blipFill>
                  <pic:spPr>
                    <a:xfrm>
                      <a:off x="0" y="0"/>
                      <a:ext cx="8609330" cy="5142865"/>
                    </a:xfrm>
                    <a:prstGeom prst="rect">
                      <a:avLst/>
                    </a:prstGeom>
                    <a:noFill/>
                    <a:ln w="9525">
                      <a:noFill/>
                    </a:ln>
                  </pic:spPr>
                </pic:pic>
              </a:graphicData>
            </a:graphic>
          </wp:inline>
        </w:drawing>
      </w:r>
    </w:p>
    <w:p>
      <w:r>
        <w:rPr>
          <w:rFonts w:hint="eastAsia" w:ascii="Times New Roman" w:hAnsi="Times New Roman" w:cs="Times New Roman"/>
          <w:b/>
          <w:bCs/>
          <w:sz w:val="28"/>
          <w:szCs w:val="28"/>
          <w:lang w:val="en-US" w:eastAsia="zh-CN"/>
        </w:rPr>
        <w:t>附件3</w:t>
      </w:r>
    </w:p>
    <w:p>
      <w:pPr>
        <w:pStyle w:val="2"/>
      </w:pPr>
      <w:r>
        <w:drawing>
          <wp:inline distT="0" distB="0" distL="114300" distR="114300">
            <wp:extent cx="5273675" cy="7992745"/>
            <wp:effectExtent l="0" t="0" r="3175" b="825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9"/>
                    <a:stretch>
                      <a:fillRect/>
                    </a:stretch>
                  </pic:blipFill>
                  <pic:spPr>
                    <a:xfrm>
                      <a:off x="0" y="0"/>
                      <a:ext cx="5273675" cy="7992745"/>
                    </a:xfrm>
                    <a:prstGeom prst="rect">
                      <a:avLst/>
                    </a:prstGeom>
                    <a:noFill/>
                    <a:ln w="9525">
                      <a:noFill/>
                    </a:ln>
                  </pic:spPr>
                </pic:pic>
              </a:graphicData>
            </a:graphic>
          </wp:inline>
        </w:drawing>
      </w: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附件4</w:t>
      </w:r>
    </w:p>
    <w:p>
      <w:pPr>
        <w:pStyle w:val="2"/>
      </w:pPr>
      <w:r>
        <w:drawing>
          <wp:inline distT="0" distB="0" distL="114300" distR="114300">
            <wp:extent cx="5668645" cy="8158480"/>
            <wp:effectExtent l="0" t="0" r="825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668645" cy="8158480"/>
                    </a:xfrm>
                    <a:prstGeom prst="rect">
                      <a:avLst/>
                    </a:prstGeom>
                    <a:noFill/>
                    <a:ln w="9525">
                      <a:noFill/>
                    </a:ln>
                  </pic:spPr>
                </pic:pic>
              </a:graphicData>
            </a:graphic>
          </wp:inline>
        </w:drawing>
      </w:r>
    </w:p>
    <w:p>
      <w:pPr>
        <w:pStyle w:val="2"/>
      </w:pPr>
      <w:r>
        <w:drawing>
          <wp:inline distT="0" distB="0" distL="114300" distR="114300">
            <wp:extent cx="5516245" cy="8123555"/>
            <wp:effectExtent l="0" t="0" r="825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516245" cy="8123555"/>
                    </a:xfrm>
                    <a:prstGeom prst="rect">
                      <a:avLst/>
                    </a:prstGeom>
                    <a:noFill/>
                    <a:ln w="9525">
                      <a:noFill/>
                    </a:ln>
                  </pic:spPr>
                </pic:pic>
              </a:graphicData>
            </a:graphic>
          </wp:inline>
        </w:drawing>
      </w:r>
    </w:p>
    <w:p>
      <w:pPr>
        <w:pStyle w:val="2"/>
      </w:pPr>
    </w:p>
    <w:p>
      <w:pPr>
        <w:pStyle w:val="2"/>
      </w:pP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附件5</w:t>
      </w:r>
    </w:p>
    <w:p>
      <w:pPr>
        <w:pStyle w:val="2"/>
      </w:pPr>
      <w:r>
        <w:drawing>
          <wp:inline distT="0" distB="0" distL="114300" distR="114300">
            <wp:extent cx="5554980" cy="7988300"/>
            <wp:effectExtent l="0" t="0" r="7620"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5554980" cy="7988300"/>
                    </a:xfrm>
                    <a:prstGeom prst="rect">
                      <a:avLst/>
                    </a:prstGeom>
                    <a:noFill/>
                    <a:ln w="9525">
                      <a:noFill/>
                    </a:ln>
                  </pic:spPr>
                </pic:pic>
              </a:graphicData>
            </a:graphic>
          </wp:inline>
        </w:drawing>
      </w:r>
    </w:p>
    <w:p>
      <w:pPr>
        <w:pStyle w:val="2"/>
      </w:pP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附件6</w:t>
      </w:r>
    </w:p>
    <w:p>
      <w:pPr>
        <w:pStyle w:val="2"/>
        <w:rPr>
          <w:rFonts w:hint="eastAsia" w:ascii="Times New Roman" w:hAnsi="Times New Roman" w:cs="Times New Roman"/>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5268595" cy="7025005"/>
            <wp:effectExtent l="0" t="0" r="8255" b="4445"/>
            <wp:docPr id="3" name="图片 3" descr="微信图片_201809202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0920202318"/>
                    <pic:cNvPicPr>
                      <a:picLocks noChangeAspect="1"/>
                    </pic:cNvPicPr>
                  </pic:nvPicPr>
                  <pic:blipFill>
                    <a:blip r:embed="rId23"/>
                    <a:stretch>
                      <a:fillRect/>
                    </a:stretch>
                  </pic:blipFill>
                  <pic:spPr>
                    <a:xfrm>
                      <a:off x="0" y="0"/>
                      <a:ext cx="5268595" cy="7025005"/>
                    </a:xfrm>
                    <a:prstGeom prst="rect">
                      <a:avLst/>
                    </a:prstGeom>
                  </pic:spPr>
                </pic:pic>
              </a:graphicData>
            </a:graphic>
          </wp:inline>
        </w:drawing>
      </w:r>
    </w:p>
    <w:p>
      <w:pPr>
        <w:pStyle w:val="2"/>
        <w:rPr>
          <w:rFonts w:hint="eastAsia" w:ascii="Times New Roman" w:hAnsi="Times New Roman" w:cs="Times New Roman"/>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5268595" cy="7025005"/>
            <wp:effectExtent l="0" t="0" r="8255" b="4445"/>
            <wp:docPr id="9" name="图片 9" descr="微信图片_201809202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920202300"/>
                    <pic:cNvPicPr>
                      <a:picLocks noChangeAspect="1"/>
                    </pic:cNvPicPr>
                  </pic:nvPicPr>
                  <pic:blipFill>
                    <a:blip r:embed="rId24"/>
                    <a:stretch>
                      <a:fillRect/>
                    </a:stretch>
                  </pic:blipFill>
                  <pic:spPr>
                    <a:xfrm>
                      <a:off x="0" y="0"/>
                      <a:ext cx="5268595" cy="7025005"/>
                    </a:xfrm>
                    <a:prstGeom prst="rect">
                      <a:avLst/>
                    </a:prstGeom>
                  </pic:spPr>
                </pic:pic>
              </a:graphicData>
            </a:graphic>
          </wp:inline>
        </w:drawing>
      </w:r>
    </w:p>
    <w:p>
      <w:pPr>
        <w:pStyle w:val="2"/>
        <w:rPr>
          <w:rFonts w:hint="eastAsia" w:ascii="Times New Roman" w:hAnsi="Times New Roman" w:cs="Times New Roman"/>
          <w:b/>
          <w:bCs/>
          <w:sz w:val="28"/>
          <w:szCs w:val="28"/>
          <w:lang w:val="en-US" w:eastAsia="zh-CN"/>
        </w:rPr>
      </w:pPr>
      <w:r>
        <w:rPr>
          <w:rFonts w:hint="eastAsia" w:cs="Times New Roman"/>
          <w:b/>
          <w:bCs/>
          <w:sz w:val="28"/>
          <w:szCs w:val="28"/>
          <w:lang w:val="en-US" w:eastAsia="zh-CN"/>
        </w:rPr>
        <w:t>附件7</w:t>
      </w:r>
      <w:bookmarkStart w:id="5" w:name="_GoBack"/>
      <w:bookmarkEnd w:id="5"/>
    </w:p>
    <w:p>
      <w:pPr>
        <w:pStyle w:val="2"/>
        <w:rPr>
          <w:rFonts w:hint="eastAsia" w:ascii="Times New Roman" w:hAnsi="Times New Roman" w:cs="Times New Roman"/>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5267960" cy="7450455"/>
            <wp:effectExtent l="0" t="0" r="8890" b="17145"/>
            <wp:docPr id="12" name="图片 12" descr="MX-M2608N_20180921_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X-M2608N_20180921_150631"/>
                    <pic:cNvPicPr>
                      <a:picLocks noChangeAspect="1"/>
                    </pic:cNvPicPr>
                  </pic:nvPicPr>
                  <pic:blipFill>
                    <a:blip r:embed="rId25"/>
                    <a:stretch>
                      <a:fillRect/>
                    </a:stretch>
                  </pic:blipFill>
                  <pic:spPr>
                    <a:xfrm>
                      <a:off x="0" y="0"/>
                      <a:ext cx="5267960" cy="7450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outlineLvl w:val="9"/>
        <w:rPr>
          <w:rFonts w:eastAsia="黑体"/>
          <w:b/>
          <w:color w:val="000000"/>
          <w:sz w:val="21"/>
          <w:szCs w:val="21"/>
        </w:rPr>
      </w:pPr>
      <w:r>
        <w:rPr>
          <w:rFonts w:hint="eastAsia" w:eastAsia="黑体"/>
          <w:b/>
          <w:color w:val="000000"/>
          <w:sz w:val="21"/>
          <w:szCs w:val="21"/>
          <w:lang w:val="en-US" w:eastAsia="zh-CN"/>
        </w:rPr>
        <w:t xml:space="preserve"> </w:t>
      </w:r>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afterLines="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tbl>
      <w:tblPr>
        <w:tblStyle w:val="11"/>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572"/>
        <w:gridCol w:w="953"/>
        <w:gridCol w:w="1252"/>
        <w:gridCol w:w="1050"/>
        <w:gridCol w:w="1029"/>
        <w:gridCol w:w="649"/>
        <w:gridCol w:w="407"/>
        <w:gridCol w:w="1125"/>
        <w:gridCol w:w="1155"/>
        <w:gridCol w:w="1740"/>
        <w:gridCol w:w="1320"/>
        <w:gridCol w:w="1031"/>
        <w:gridCol w:w="194"/>
        <w:gridCol w:w="908"/>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jc w:val="center"/>
        </w:trPr>
        <w:tc>
          <w:tcPr>
            <w:tcW w:w="430" w:type="dxa"/>
            <w:vMerge w:val="restart"/>
            <w:tcMar>
              <w:left w:w="57" w:type="dxa"/>
              <w:right w:w="57" w:type="dxa"/>
            </w:tcMar>
            <w:textDirection w:val="tbRlV"/>
            <w:vAlign w:val="center"/>
          </w:tcPr>
          <w:p>
            <w:pPr>
              <w:spacing w:after="0" w:afterLines="0"/>
              <w:ind w:left="113" w:right="113"/>
              <w:jc w:val="center"/>
              <w:rPr>
                <w:b/>
                <w:color w:val="000000"/>
                <w:kern w:val="2"/>
                <w:sz w:val="15"/>
                <w:szCs w:val="15"/>
              </w:rPr>
            </w:pPr>
            <w:r>
              <w:rPr>
                <w:b/>
                <w:color w:val="000000"/>
                <w:kern w:val="2"/>
                <w:sz w:val="15"/>
                <w:szCs w:val="15"/>
              </w:rPr>
              <w:t>建设项目</w:t>
            </w:r>
          </w:p>
        </w:tc>
        <w:tc>
          <w:tcPr>
            <w:tcW w:w="1839" w:type="dxa"/>
            <w:gridSpan w:val="3"/>
            <w:tcMar>
              <w:left w:w="57" w:type="dxa"/>
              <w:right w:w="57" w:type="dxa"/>
            </w:tcMar>
            <w:vAlign w:val="center"/>
          </w:tcPr>
          <w:p>
            <w:pPr>
              <w:spacing w:after="0" w:afterLines="0"/>
              <w:rPr>
                <w:b/>
                <w:color w:val="000000"/>
                <w:kern w:val="2"/>
                <w:sz w:val="15"/>
                <w:szCs w:val="15"/>
              </w:rPr>
            </w:pPr>
            <w:r>
              <w:rPr>
                <w:b/>
                <w:color w:val="000000"/>
                <w:kern w:val="2"/>
                <w:sz w:val="15"/>
                <w:szCs w:val="15"/>
              </w:rPr>
              <w:t>项目名称</w:t>
            </w:r>
          </w:p>
        </w:tc>
        <w:tc>
          <w:tcPr>
            <w:tcW w:w="5340" w:type="dxa"/>
            <w:gridSpan w:val="6"/>
            <w:tcMar>
              <w:left w:w="57" w:type="dxa"/>
              <w:right w:w="57" w:type="dxa"/>
            </w:tcMar>
            <w:vAlign w:val="top"/>
          </w:tcPr>
          <w:p>
            <w:pPr>
              <w:spacing w:after="0" w:afterLines="0"/>
              <w:jc w:val="center"/>
              <w:rPr>
                <w:rFonts w:hint="eastAsia"/>
                <w:b/>
                <w:color w:val="000000"/>
                <w:kern w:val="2"/>
                <w:sz w:val="15"/>
                <w:szCs w:val="15"/>
                <w:lang w:eastAsia="zh-CN"/>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套高压负荷开关生产项目</w:t>
            </w:r>
          </w:p>
        </w:tc>
        <w:tc>
          <w:tcPr>
            <w:tcW w:w="2280" w:type="dxa"/>
            <w:gridSpan w:val="2"/>
            <w:tcMar>
              <w:left w:w="57" w:type="dxa"/>
              <w:right w:w="57" w:type="dxa"/>
            </w:tcMar>
            <w:vAlign w:val="center"/>
          </w:tcPr>
          <w:p>
            <w:pPr>
              <w:spacing w:after="0" w:afterLines="0"/>
              <w:rPr>
                <w:b/>
                <w:color w:val="000000"/>
                <w:kern w:val="2"/>
                <w:sz w:val="15"/>
                <w:szCs w:val="15"/>
              </w:rPr>
            </w:pPr>
            <w:r>
              <w:rPr>
                <w:rFonts w:hint="eastAsia"/>
                <w:b/>
                <w:color w:val="000000"/>
                <w:kern w:val="2"/>
                <w:sz w:val="15"/>
                <w:szCs w:val="15"/>
              </w:rPr>
              <w:t>项</w:t>
            </w:r>
            <w:r>
              <w:rPr>
                <w:b/>
                <w:color w:val="000000"/>
                <w:kern w:val="2"/>
                <w:sz w:val="15"/>
                <w:szCs w:val="15"/>
              </w:rPr>
              <w:t>目代码</w:t>
            </w:r>
          </w:p>
        </w:tc>
        <w:tc>
          <w:tcPr>
            <w:tcW w:w="1740" w:type="dxa"/>
            <w:tcMar>
              <w:left w:w="57" w:type="dxa"/>
              <w:right w:w="57" w:type="dxa"/>
            </w:tcMar>
            <w:vAlign w:val="top"/>
          </w:tcPr>
          <w:p>
            <w:pPr>
              <w:spacing w:after="0" w:afterLines="0"/>
              <w:rPr>
                <w:rFonts w:hint="eastAsia" w:eastAsia="微软雅黑"/>
                <w:color w:val="000000"/>
                <w:kern w:val="2"/>
                <w:sz w:val="15"/>
                <w:szCs w:val="15"/>
                <w:lang w:val="en-US" w:eastAsia="zh-CN"/>
              </w:rPr>
            </w:pPr>
          </w:p>
        </w:tc>
        <w:tc>
          <w:tcPr>
            <w:tcW w:w="1320" w:type="dxa"/>
            <w:tcMar>
              <w:left w:w="57" w:type="dxa"/>
              <w:right w:w="57" w:type="dxa"/>
            </w:tcMar>
            <w:vAlign w:val="top"/>
          </w:tcPr>
          <w:p>
            <w:pPr>
              <w:spacing w:after="0" w:afterLines="0"/>
              <w:rPr>
                <w:color w:val="000000"/>
                <w:kern w:val="2"/>
                <w:sz w:val="15"/>
                <w:szCs w:val="15"/>
              </w:rPr>
            </w:pPr>
            <w:r>
              <w:rPr>
                <w:b/>
                <w:color w:val="000000"/>
                <w:kern w:val="2"/>
                <w:sz w:val="15"/>
                <w:szCs w:val="15"/>
              </w:rPr>
              <w:t>建设地点</w:t>
            </w:r>
          </w:p>
        </w:tc>
        <w:tc>
          <w:tcPr>
            <w:tcW w:w="2927" w:type="dxa"/>
            <w:gridSpan w:val="4"/>
            <w:tcMar>
              <w:left w:w="57" w:type="dxa"/>
              <w:right w:w="57" w:type="dxa"/>
            </w:tcMar>
            <w:vAlign w:val="center"/>
          </w:tcPr>
          <w:p>
            <w:pPr>
              <w:spacing w:after="0" w:afterLines="0"/>
              <w:jc w:val="center"/>
              <w:rPr>
                <w:color w:val="000000"/>
                <w:kern w:val="2"/>
                <w:sz w:val="15"/>
                <w:szCs w:val="15"/>
                <w:lang w:val="en-US"/>
              </w:rPr>
            </w:pPr>
            <w:r>
              <w:rPr>
                <w:rFonts w:hint="eastAsia"/>
                <w:b/>
                <w:color w:val="000000"/>
                <w:kern w:val="2"/>
                <w:sz w:val="15"/>
                <w:szCs w:val="15"/>
                <w:lang w:val="en-US" w:eastAsia="zh-CN"/>
              </w:rPr>
              <w:t>三门县海游镇光明中路16号地块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行业类别（分类管理</w:t>
            </w:r>
            <w:r>
              <w:rPr>
                <w:rFonts w:hint="eastAsia"/>
                <w:b/>
                <w:color w:val="000000"/>
                <w:kern w:val="2"/>
                <w:sz w:val="15"/>
                <w:szCs w:val="15"/>
              </w:rPr>
              <w:t>名录</w:t>
            </w:r>
            <w:r>
              <w:rPr>
                <w:b/>
                <w:color w:val="000000"/>
                <w:kern w:val="2"/>
                <w:sz w:val="15"/>
                <w:szCs w:val="15"/>
              </w:rPr>
              <w:t>）</w:t>
            </w:r>
          </w:p>
        </w:tc>
        <w:tc>
          <w:tcPr>
            <w:tcW w:w="5340" w:type="dxa"/>
            <w:gridSpan w:val="6"/>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C3823 配电开关控制设备制造</w:t>
            </w: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建设性质</w:t>
            </w:r>
          </w:p>
        </w:tc>
        <w:tc>
          <w:tcPr>
            <w:tcW w:w="3060" w:type="dxa"/>
            <w:gridSpan w:val="2"/>
            <w:tcMar>
              <w:left w:w="57" w:type="dxa"/>
              <w:right w:w="57" w:type="dxa"/>
            </w:tcMar>
            <w:vAlign w:val="center"/>
          </w:tcPr>
          <w:p>
            <w:pPr>
              <w:spacing w:after="0" w:afterLines="0"/>
              <w:jc w:val="center"/>
              <w:rPr>
                <w:color w:val="auto"/>
                <w:kern w:val="2"/>
                <w:sz w:val="15"/>
                <w:szCs w:val="15"/>
              </w:rPr>
            </w:pPr>
            <w:r>
              <w:rPr>
                <w:rFonts w:ascii="宋体" w:hAnsi="宋体"/>
                <w:color w:val="auto"/>
                <w:sz w:val="15"/>
                <w:szCs w:val="15"/>
              </w:rPr>
              <w:t>√</w:t>
            </w:r>
            <w:r>
              <w:rPr>
                <w:b/>
                <w:color w:val="auto"/>
                <w:kern w:val="2"/>
                <w:sz w:val="15"/>
                <w:szCs w:val="15"/>
              </w:rPr>
              <w:t>□新建  □ 改扩建  □技术改造</w:t>
            </w:r>
          </w:p>
        </w:tc>
        <w:tc>
          <w:tcPr>
            <w:tcW w:w="1225" w:type="dxa"/>
            <w:gridSpan w:val="2"/>
            <w:tcMar>
              <w:left w:w="57" w:type="dxa"/>
              <w:right w:w="57" w:type="dxa"/>
            </w:tcMar>
            <w:vAlign w:val="top"/>
          </w:tcPr>
          <w:p>
            <w:pPr>
              <w:spacing w:after="0" w:afterLines="0"/>
              <w:rPr>
                <w:b/>
                <w:color w:val="auto"/>
                <w:kern w:val="2"/>
                <w:sz w:val="15"/>
                <w:szCs w:val="15"/>
              </w:rPr>
            </w:pPr>
            <w:r>
              <w:rPr>
                <w:rFonts w:hint="eastAsia"/>
                <w:b/>
                <w:color w:val="auto"/>
                <w:kern w:val="2"/>
                <w:sz w:val="15"/>
                <w:szCs w:val="15"/>
              </w:rPr>
              <w:t>项目厂区中心经度/纬度</w:t>
            </w:r>
          </w:p>
        </w:tc>
        <w:tc>
          <w:tcPr>
            <w:tcW w:w="1702" w:type="dxa"/>
            <w:gridSpan w:val="2"/>
            <w:tcMar>
              <w:left w:w="57" w:type="dxa"/>
              <w:right w:w="57" w:type="dxa"/>
            </w:tcMar>
            <w:vAlign w:val="top"/>
          </w:tcPr>
          <w:p>
            <w:pPr>
              <w:spacing w:after="0" w:afterLines="0"/>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东经E121°22′25.90″</w:t>
            </w:r>
          </w:p>
          <w:p>
            <w:pPr>
              <w:spacing w:after="0" w:afterLines="0"/>
              <w:rPr>
                <w:color w:val="auto"/>
                <w:kern w:val="2"/>
                <w:sz w:val="15"/>
                <w:szCs w:val="15"/>
              </w:rPr>
            </w:pPr>
            <w:r>
              <w:rPr>
                <w:rFonts w:hint="eastAsia"/>
                <w:b/>
                <w:color w:val="000000" w:themeColor="text1"/>
                <w:kern w:val="2"/>
                <w:sz w:val="15"/>
                <w:szCs w:val="15"/>
                <w:lang w:val="en-US" w:eastAsia="zh-CN"/>
                <w14:textFill>
                  <w14:solidFill>
                    <w14:schemeClr w14:val="tx1"/>
                  </w14:solidFill>
                </w14:textFill>
              </w:rPr>
              <w:t xml:space="preserve">北纬N29°06′50.62″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设计生产能力</w:t>
            </w:r>
          </w:p>
        </w:tc>
        <w:tc>
          <w:tcPr>
            <w:tcW w:w="5340" w:type="dxa"/>
            <w:gridSpan w:val="6"/>
            <w:tcMar>
              <w:left w:w="57" w:type="dxa"/>
              <w:right w:w="57" w:type="dxa"/>
            </w:tcMar>
            <w:vAlign w:val="center"/>
          </w:tcPr>
          <w:p>
            <w:pPr>
              <w:spacing w:after="0" w:afterLines="0"/>
              <w:jc w:val="center"/>
              <w:rPr>
                <w:b/>
                <w:color w:val="auto"/>
                <w:kern w:val="2"/>
                <w:sz w:val="15"/>
                <w:szCs w:val="15"/>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w:t>
            </w:r>
          </w:p>
        </w:tc>
        <w:tc>
          <w:tcPr>
            <w:tcW w:w="2280" w:type="dxa"/>
            <w:gridSpan w:val="2"/>
            <w:tcMar>
              <w:left w:w="57" w:type="dxa"/>
              <w:right w:w="57" w:type="dxa"/>
            </w:tcMar>
            <w:vAlign w:val="center"/>
          </w:tcPr>
          <w:p>
            <w:pPr>
              <w:spacing w:after="0" w:afterLines="0"/>
              <w:jc w:val="both"/>
              <w:rPr>
                <w:color w:val="auto"/>
                <w:kern w:val="2"/>
                <w:sz w:val="15"/>
                <w:szCs w:val="15"/>
              </w:rPr>
            </w:pPr>
            <w:r>
              <w:rPr>
                <w:b/>
                <w:color w:val="auto"/>
                <w:kern w:val="2"/>
                <w:sz w:val="15"/>
                <w:szCs w:val="15"/>
              </w:rPr>
              <w:t>实际生产能力</w:t>
            </w:r>
          </w:p>
        </w:tc>
        <w:tc>
          <w:tcPr>
            <w:tcW w:w="1740" w:type="dxa"/>
            <w:tcMar>
              <w:left w:w="57" w:type="dxa"/>
              <w:right w:w="57" w:type="dxa"/>
            </w:tcMar>
            <w:vAlign w:val="center"/>
          </w:tcPr>
          <w:p>
            <w:pPr>
              <w:spacing w:after="0" w:afterLines="0"/>
              <w:jc w:val="center"/>
              <w:rPr>
                <w:b/>
                <w:color w:val="auto"/>
                <w:kern w:val="2"/>
                <w:sz w:val="15"/>
                <w:szCs w:val="15"/>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w:t>
            </w:r>
          </w:p>
        </w:tc>
        <w:tc>
          <w:tcPr>
            <w:tcW w:w="1320" w:type="dxa"/>
            <w:tcMar>
              <w:left w:w="57" w:type="dxa"/>
              <w:right w:w="57" w:type="dxa"/>
            </w:tcMar>
            <w:vAlign w:val="center"/>
          </w:tcPr>
          <w:p>
            <w:pPr>
              <w:spacing w:after="0" w:afterLines="0"/>
              <w:jc w:val="center"/>
              <w:rPr>
                <w:color w:val="auto"/>
                <w:kern w:val="2"/>
                <w:sz w:val="15"/>
                <w:szCs w:val="15"/>
              </w:rPr>
            </w:pPr>
            <w:r>
              <w:rPr>
                <w:b/>
                <w:color w:val="auto"/>
                <w:kern w:val="2"/>
                <w:sz w:val="15"/>
                <w:szCs w:val="15"/>
              </w:rPr>
              <w:t>环评单位</w:t>
            </w:r>
          </w:p>
        </w:tc>
        <w:tc>
          <w:tcPr>
            <w:tcW w:w="2927" w:type="dxa"/>
            <w:gridSpan w:val="4"/>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color w:val="auto"/>
                <w:kern w:val="2"/>
                <w:sz w:val="15"/>
                <w:szCs w:val="15"/>
                <w:lang w:val="en-US" w:eastAsia="zh-CN"/>
              </w:rPr>
              <w:t>浙江东天虹环保工程有限公司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环评文件审批机关</w:t>
            </w:r>
          </w:p>
        </w:tc>
        <w:tc>
          <w:tcPr>
            <w:tcW w:w="5340" w:type="dxa"/>
            <w:gridSpan w:val="6"/>
            <w:tcMar>
              <w:left w:w="57" w:type="dxa"/>
              <w:right w:w="57" w:type="dxa"/>
            </w:tcMar>
            <w:vAlign w:val="top"/>
          </w:tcPr>
          <w:p>
            <w:pPr>
              <w:spacing w:after="0" w:afterLines="0"/>
              <w:jc w:val="center"/>
              <w:rPr>
                <w:rFonts w:hint="eastAsia" w:eastAsia="微软雅黑"/>
                <w:b/>
                <w:color w:val="auto"/>
                <w:kern w:val="2"/>
                <w:sz w:val="15"/>
                <w:szCs w:val="15"/>
                <w:lang w:val="en-US" w:eastAsia="zh-CN"/>
              </w:rPr>
            </w:pPr>
            <w:r>
              <w:rPr>
                <w:rFonts w:hint="eastAsia"/>
                <w:b/>
                <w:color w:val="auto"/>
                <w:kern w:val="2"/>
                <w:sz w:val="15"/>
                <w:szCs w:val="15"/>
                <w:lang w:val="en-US" w:eastAsia="zh-CN"/>
              </w:rPr>
              <w:t>三门县环境保护局</w:t>
            </w: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审批文号</w:t>
            </w:r>
          </w:p>
        </w:tc>
        <w:tc>
          <w:tcPr>
            <w:tcW w:w="1740" w:type="dxa"/>
            <w:tcMar>
              <w:left w:w="57" w:type="dxa"/>
              <w:right w:w="57" w:type="dxa"/>
            </w:tcMar>
            <w:vAlign w:val="center"/>
          </w:tcPr>
          <w:p>
            <w:pPr>
              <w:spacing w:after="0" w:afterLines="0"/>
              <w:jc w:val="center"/>
              <w:rPr>
                <w:color w:val="auto"/>
                <w:kern w:val="2"/>
                <w:sz w:val="15"/>
                <w:szCs w:val="15"/>
              </w:rPr>
            </w:pPr>
            <w:r>
              <w:rPr>
                <w:rFonts w:hint="eastAsia"/>
                <w:b/>
                <w:color w:val="auto"/>
                <w:kern w:val="2"/>
                <w:sz w:val="15"/>
                <w:szCs w:val="15"/>
                <w:lang w:val="en-US" w:eastAsia="zh-CN"/>
              </w:rPr>
              <w:t>三环建[2016]1号</w:t>
            </w: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环评</w:t>
            </w:r>
            <w:r>
              <w:rPr>
                <w:b/>
                <w:color w:val="auto"/>
                <w:kern w:val="2"/>
                <w:sz w:val="15"/>
                <w:szCs w:val="15"/>
              </w:rPr>
              <w:t>文件</w:t>
            </w:r>
            <w:r>
              <w:rPr>
                <w:rFonts w:hint="eastAsia"/>
                <w:b/>
                <w:color w:val="auto"/>
                <w:kern w:val="2"/>
                <w:sz w:val="15"/>
                <w:szCs w:val="15"/>
              </w:rPr>
              <w:t>类型</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开工日期</w:t>
            </w:r>
          </w:p>
        </w:tc>
        <w:tc>
          <w:tcPr>
            <w:tcW w:w="5340" w:type="dxa"/>
            <w:gridSpan w:val="6"/>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竣工日期</w:t>
            </w:r>
          </w:p>
        </w:tc>
        <w:tc>
          <w:tcPr>
            <w:tcW w:w="1740"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排污许可证申领时间</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环保设施设计单位</w:t>
            </w:r>
          </w:p>
        </w:tc>
        <w:tc>
          <w:tcPr>
            <w:tcW w:w="5340" w:type="dxa"/>
            <w:gridSpan w:val="6"/>
            <w:tcMar>
              <w:left w:w="57" w:type="dxa"/>
              <w:right w:w="57" w:type="dxa"/>
            </w:tcMar>
            <w:vAlign w:val="center"/>
          </w:tcPr>
          <w:p>
            <w:pPr>
              <w:spacing w:after="0" w:afterLines="0"/>
              <w:jc w:val="center"/>
              <w:rPr>
                <w:rFonts w:hint="eastAsia" w:eastAsia="微软雅黑"/>
                <w:b/>
                <w:color w:val="auto"/>
                <w:sz w:val="15"/>
                <w:szCs w:val="15"/>
                <w:lang w:val="en-US" w:eastAsia="zh-CN"/>
              </w:rPr>
            </w:pPr>
            <w:r>
              <w:rPr>
                <w:rFonts w:hint="eastAsia"/>
                <w:b/>
                <w:color w:val="auto"/>
                <w:sz w:val="15"/>
                <w:szCs w:val="15"/>
                <w:lang w:val="en-US" w:eastAsia="zh-CN"/>
              </w:rPr>
              <w:t>/</w:t>
            </w:r>
          </w:p>
        </w:tc>
        <w:tc>
          <w:tcPr>
            <w:tcW w:w="2280" w:type="dxa"/>
            <w:gridSpan w:val="2"/>
            <w:tcMar>
              <w:left w:w="57" w:type="dxa"/>
              <w:right w:w="57" w:type="dxa"/>
            </w:tcMar>
            <w:vAlign w:val="center"/>
          </w:tcPr>
          <w:p>
            <w:pPr>
              <w:spacing w:after="0" w:afterLines="0"/>
              <w:rPr>
                <w:b/>
                <w:color w:val="auto"/>
                <w:sz w:val="15"/>
                <w:szCs w:val="15"/>
              </w:rPr>
            </w:pPr>
            <w:r>
              <w:rPr>
                <w:b/>
                <w:color w:val="auto"/>
                <w:sz w:val="15"/>
                <w:szCs w:val="15"/>
              </w:rPr>
              <w:t>环保设施施工单位</w:t>
            </w:r>
          </w:p>
        </w:tc>
        <w:tc>
          <w:tcPr>
            <w:tcW w:w="1740" w:type="dxa"/>
            <w:tcMar>
              <w:left w:w="57" w:type="dxa"/>
              <w:right w:w="57" w:type="dxa"/>
            </w:tcMar>
            <w:vAlign w:val="center"/>
          </w:tcPr>
          <w:p>
            <w:pPr>
              <w:spacing w:after="0" w:afterLines="0"/>
              <w:jc w:val="center"/>
              <w:rPr>
                <w:color w:val="auto"/>
                <w:kern w:val="2"/>
                <w:sz w:val="15"/>
                <w:szCs w:val="15"/>
              </w:rPr>
            </w:pPr>
            <w:r>
              <w:rPr>
                <w:rFonts w:hint="eastAsia"/>
                <w:b/>
                <w:color w:val="auto"/>
                <w:sz w:val="15"/>
                <w:szCs w:val="15"/>
                <w:lang w:val="en-US" w:eastAsia="zh-CN"/>
              </w:rPr>
              <w:t>/</w:t>
            </w: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本工程排污许可证</w:t>
            </w:r>
            <w:r>
              <w:rPr>
                <w:b/>
                <w:color w:val="auto"/>
                <w:kern w:val="2"/>
                <w:sz w:val="15"/>
                <w:szCs w:val="15"/>
              </w:rPr>
              <w:t>编号</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验收单位</w:t>
            </w:r>
          </w:p>
        </w:tc>
        <w:tc>
          <w:tcPr>
            <w:tcW w:w="5340" w:type="dxa"/>
            <w:gridSpan w:val="6"/>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三门县海威电气有限公司</w:t>
            </w:r>
          </w:p>
        </w:tc>
        <w:tc>
          <w:tcPr>
            <w:tcW w:w="2280" w:type="dxa"/>
            <w:gridSpan w:val="2"/>
            <w:tcMar>
              <w:left w:w="57" w:type="dxa"/>
              <w:right w:w="57" w:type="dxa"/>
            </w:tcMar>
            <w:vAlign w:val="center"/>
          </w:tcPr>
          <w:p>
            <w:pPr>
              <w:spacing w:after="0" w:afterLines="0"/>
              <w:rPr>
                <w:b/>
                <w:color w:val="000000"/>
                <w:kern w:val="2"/>
                <w:sz w:val="15"/>
                <w:szCs w:val="15"/>
              </w:rPr>
            </w:pPr>
            <w:r>
              <w:rPr>
                <w:b/>
                <w:color w:val="000000"/>
                <w:kern w:val="2"/>
                <w:sz w:val="15"/>
                <w:szCs w:val="15"/>
              </w:rPr>
              <w:t>环保设施监测单位</w:t>
            </w:r>
          </w:p>
        </w:tc>
        <w:tc>
          <w:tcPr>
            <w:tcW w:w="1740" w:type="dxa"/>
            <w:tcMar>
              <w:left w:w="57" w:type="dxa"/>
              <w:right w:w="57" w:type="dxa"/>
            </w:tcMar>
            <w:vAlign w:val="center"/>
          </w:tcPr>
          <w:p>
            <w:pPr>
              <w:spacing w:after="0" w:afterLines="0"/>
              <w:jc w:val="center"/>
              <w:rPr>
                <w:color w:val="000000"/>
                <w:kern w:val="2"/>
                <w:sz w:val="15"/>
                <w:szCs w:val="15"/>
              </w:rPr>
            </w:pPr>
            <w:r>
              <w:rPr>
                <w:rFonts w:hint="eastAsia"/>
                <w:b/>
                <w:color w:val="000000"/>
                <w:kern w:val="2"/>
                <w:sz w:val="15"/>
                <w:szCs w:val="15"/>
                <w:lang w:val="en-US" w:eastAsia="zh-CN"/>
              </w:rPr>
              <w:t>台州三飞检测科技有限公司</w:t>
            </w:r>
          </w:p>
        </w:tc>
        <w:tc>
          <w:tcPr>
            <w:tcW w:w="1320" w:type="dxa"/>
            <w:tcMar>
              <w:left w:w="57" w:type="dxa"/>
              <w:right w:w="57" w:type="dxa"/>
            </w:tcMar>
            <w:vAlign w:val="center"/>
          </w:tcPr>
          <w:p>
            <w:pPr>
              <w:spacing w:after="0" w:afterLines="0"/>
              <w:jc w:val="left"/>
              <w:rPr>
                <w:b/>
                <w:color w:val="000000"/>
                <w:kern w:val="2"/>
                <w:sz w:val="15"/>
                <w:szCs w:val="15"/>
              </w:rPr>
            </w:pPr>
            <w:r>
              <w:rPr>
                <w:b/>
                <w:color w:val="000000"/>
                <w:kern w:val="2"/>
                <w:sz w:val="15"/>
                <w:szCs w:val="15"/>
              </w:rPr>
              <w:t>验收监测</w:t>
            </w:r>
            <w:r>
              <w:rPr>
                <w:rFonts w:hint="eastAsia"/>
                <w:b/>
                <w:color w:val="000000"/>
                <w:kern w:val="2"/>
                <w:sz w:val="15"/>
                <w:szCs w:val="15"/>
              </w:rPr>
              <w:t>时工况</w:t>
            </w:r>
          </w:p>
        </w:tc>
        <w:tc>
          <w:tcPr>
            <w:tcW w:w="2927" w:type="dxa"/>
            <w:gridSpan w:val="4"/>
            <w:tcMar>
              <w:left w:w="57" w:type="dxa"/>
              <w:right w:w="57" w:type="dxa"/>
            </w:tcMar>
            <w:vAlign w:val="center"/>
          </w:tcPr>
          <w:p>
            <w:pPr>
              <w:spacing w:after="0" w:afterLines="0"/>
              <w:jc w:val="center"/>
              <w:rPr>
                <w:rFonts w:hint="eastAsia"/>
                <w:b/>
                <w:color w:val="000000"/>
                <w:kern w:val="2"/>
                <w:sz w:val="15"/>
                <w:szCs w:val="15"/>
                <w:lang w:val="en-US" w:eastAsia="zh-CN"/>
              </w:rPr>
            </w:pPr>
            <w:r>
              <w:rPr>
                <w:rFonts w:hint="eastAsia"/>
                <w:b/>
                <w:color w:val="auto"/>
                <w:kern w:val="2"/>
                <w:sz w:val="15"/>
                <w:szCs w:val="15"/>
                <w:lang w:val="en-US" w:eastAsia="zh-CN"/>
              </w:rPr>
              <w:t>90.6%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投资总概算（万元）</w:t>
            </w:r>
          </w:p>
        </w:tc>
        <w:tc>
          <w:tcPr>
            <w:tcW w:w="5340" w:type="dxa"/>
            <w:gridSpan w:val="6"/>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100</w:t>
            </w:r>
          </w:p>
        </w:tc>
        <w:tc>
          <w:tcPr>
            <w:tcW w:w="2280" w:type="dxa"/>
            <w:gridSpan w:val="2"/>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环保投资总概算（万元）</w:t>
            </w:r>
          </w:p>
        </w:tc>
        <w:tc>
          <w:tcPr>
            <w:tcW w:w="1740" w:type="dxa"/>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12</w:t>
            </w:r>
          </w:p>
        </w:tc>
        <w:tc>
          <w:tcPr>
            <w:tcW w:w="1320" w:type="dxa"/>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所占比例（%）</w:t>
            </w:r>
          </w:p>
        </w:tc>
        <w:tc>
          <w:tcPr>
            <w:tcW w:w="2927" w:type="dxa"/>
            <w:gridSpan w:val="4"/>
            <w:tcMar>
              <w:left w:w="57" w:type="dxa"/>
              <w:right w:w="57" w:type="dxa"/>
            </w:tcMar>
            <w:vAlign w:val="center"/>
          </w:tcPr>
          <w:p>
            <w:pPr>
              <w:spacing w:after="0" w:afterLines="0"/>
              <w:jc w:val="center"/>
              <w:rPr>
                <w:rFonts w:hint="eastAsia"/>
                <w:b/>
                <w:color w:val="000000"/>
                <w:kern w:val="2"/>
                <w:sz w:val="15"/>
                <w:szCs w:val="15"/>
                <w:lang w:val="en-US" w:eastAsia="zh-CN"/>
              </w:rPr>
            </w:pPr>
            <w:r>
              <w:rPr>
                <w:rFonts w:hint="eastAsia"/>
                <w:b/>
                <w:color w:val="000000"/>
                <w:kern w:val="2"/>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top"/>
          </w:tcPr>
          <w:p>
            <w:pPr>
              <w:spacing w:after="0" w:afterLines="0"/>
              <w:rPr>
                <w:color w:val="000000"/>
                <w:kern w:val="2"/>
                <w:sz w:val="15"/>
                <w:szCs w:val="15"/>
              </w:rPr>
            </w:pPr>
            <w:r>
              <w:rPr>
                <w:b/>
                <w:color w:val="000000"/>
                <w:kern w:val="2"/>
                <w:sz w:val="15"/>
                <w:szCs w:val="15"/>
              </w:rPr>
              <w:t>实际总投资（万元）</w:t>
            </w:r>
          </w:p>
        </w:tc>
        <w:tc>
          <w:tcPr>
            <w:tcW w:w="5340" w:type="dxa"/>
            <w:gridSpan w:val="6"/>
            <w:tcMar>
              <w:left w:w="57" w:type="dxa"/>
              <w:right w:w="57" w:type="dxa"/>
            </w:tcMar>
            <w:vAlign w:val="top"/>
          </w:tcPr>
          <w:p>
            <w:pPr>
              <w:spacing w:after="0" w:afterLines="0"/>
              <w:jc w:val="center"/>
              <w:rPr>
                <w:rFonts w:hint="eastAsia" w:eastAsia="微软雅黑"/>
                <w:color w:val="auto"/>
                <w:kern w:val="2"/>
                <w:sz w:val="15"/>
                <w:szCs w:val="15"/>
                <w:lang w:val="en-US" w:eastAsia="zh-CN"/>
              </w:rPr>
            </w:pPr>
            <w:r>
              <w:rPr>
                <w:rFonts w:hint="eastAsia"/>
                <w:b/>
                <w:color w:val="auto"/>
                <w:sz w:val="15"/>
                <w:szCs w:val="15"/>
                <w:lang w:val="en-US" w:eastAsia="zh-CN"/>
              </w:rPr>
              <w:t>100</w:t>
            </w:r>
          </w:p>
        </w:tc>
        <w:tc>
          <w:tcPr>
            <w:tcW w:w="2280" w:type="dxa"/>
            <w:gridSpan w:val="2"/>
            <w:tcMar>
              <w:left w:w="57" w:type="dxa"/>
              <w:right w:w="57" w:type="dxa"/>
            </w:tcMar>
            <w:vAlign w:val="center"/>
          </w:tcPr>
          <w:p>
            <w:pPr>
              <w:spacing w:after="0" w:afterLines="0"/>
              <w:ind w:right="300"/>
              <w:rPr>
                <w:b/>
                <w:color w:val="auto"/>
                <w:kern w:val="2"/>
                <w:sz w:val="15"/>
                <w:szCs w:val="15"/>
              </w:rPr>
            </w:pPr>
            <w:r>
              <w:rPr>
                <w:b/>
                <w:color w:val="auto"/>
                <w:kern w:val="2"/>
                <w:sz w:val="15"/>
                <w:szCs w:val="15"/>
              </w:rPr>
              <w:t>实际环保投资（万元）</w:t>
            </w:r>
          </w:p>
        </w:tc>
        <w:tc>
          <w:tcPr>
            <w:tcW w:w="1740"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12</w:t>
            </w:r>
          </w:p>
        </w:tc>
        <w:tc>
          <w:tcPr>
            <w:tcW w:w="1320" w:type="dxa"/>
            <w:tcMar>
              <w:left w:w="57" w:type="dxa"/>
              <w:right w:w="57" w:type="dxa"/>
            </w:tcMar>
            <w:vAlign w:val="center"/>
          </w:tcPr>
          <w:p>
            <w:pPr>
              <w:spacing w:after="0" w:afterLines="0"/>
              <w:rPr>
                <w:b/>
                <w:color w:val="auto"/>
                <w:kern w:val="2"/>
                <w:sz w:val="15"/>
                <w:szCs w:val="15"/>
              </w:rPr>
            </w:pPr>
            <w:r>
              <w:rPr>
                <w:b/>
                <w:color w:val="auto"/>
                <w:kern w:val="2"/>
                <w:sz w:val="15"/>
                <w:szCs w:val="15"/>
              </w:rPr>
              <w:t>所占比例（%）</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jc w:val="left"/>
              <w:rPr>
                <w:rFonts w:hint="eastAsia"/>
                <w:b/>
                <w:color w:val="FF0000"/>
                <w:sz w:val="15"/>
                <w:szCs w:val="15"/>
                <w:lang w:val="en-US" w:eastAsia="zh-CN"/>
              </w:rPr>
            </w:pPr>
            <w:r>
              <w:rPr>
                <w:rFonts w:hint="eastAsia"/>
                <w:b/>
                <w:color w:val="auto"/>
                <w:sz w:val="15"/>
                <w:szCs w:val="15"/>
                <w:lang w:val="en-US" w:eastAsia="zh-CN"/>
              </w:rPr>
              <w:t>废水治理（万元）</w:t>
            </w:r>
          </w:p>
        </w:tc>
        <w:tc>
          <w:tcPr>
            <w:tcW w:w="953"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3</w:t>
            </w:r>
          </w:p>
        </w:tc>
        <w:tc>
          <w:tcPr>
            <w:tcW w:w="1252" w:type="dxa"/>
            <w:tcMar>
              <w:left w:w="57" w:type="dxa"/>
              <w:right w:w="57" w:type="dxa"/>
            </w:tcMar>
            <w:vAlign w:val="center"/>
          </w:tcPr>
          <w:p>
            <w:pPr>
              <w:spacing w:after="0" w:afterLines="0"/>
              <w:jc w:val="center"/>
              <w:rPr>
                <w:b/>
                <w:color w:val="auto"/>
                <w:kern w:val="2"/>
                <w:sz w:val="15"/>
                <w:szCs w:val="15"/>
              </w:rPr>
            </w:pPr>
            <w:r>
              <w:rPr>
                <w:b/>
                <w:color w:val="auto"/>
                <w:kern w:val="2"/>
                <w:sz w:val="15"/>
                <w:szCs w:val="15"/>
              </w:rPr>
              <w:t>废气治理（万元）</w:t>
            </w:r>
          </w:p>
        </w:tc>
        <w:tc>
          <w:tcPr>
            <w:tcW w:w="1050"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0.5</w:t>
            </w:r>
          </w:p>
        </w:tc>
        <w:tc>
          <w:tcPr>
            <w:tcW w:w="1678" w:type="dxa"/>
            <w:gridSpan w:val="2"/>
            <w:tcMar>
              <w:left w:w="57" w:type="dxa"/>
              <w:right w:w="57" w:type="dxa"/>
            </w:tcMar>
            <w:vAlign w:val="center"/>
          </w:tcPr>
          <w:p>
            <w:pPr>
              <w:spacing w:after="0" w:afterLines="0"/>
              <w:jc w:val="center"/>
              <w:rPr>
                <w:b/>
                <w:color w:val="auto"/>
                <w:kern w:val="2"/>
                <w:sz w:val="15"/>
                <w:szCs w:val="15"/>
              </w:rPr>
            </w:pPr>
            <w:r>
              <w:rPr>
                <w:b/>
                <w:color w:val="auto"/>
                <w:kern w:val="2"/>
                <w:sz w:val="15"/>
                <w:szCs w:val="15"/>
              </w:rPr>
              <w:t>噪声治理（万元）</w:t>
            </w:r>
          </w:p>
        </w:tc>
        <w:tc>
          <w:tcPr>
            <w:tcW w:w="407"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6</w:t>
            </w:r>
          </w:p>
        </w:tc>
        <w:tc>
          <w:tcPr>
            <w:tcW w:w="2280" w:type="dxa"/>
            <w:gridSpan w:val="2"/>
            <w:tcMar>
              <w:left w:w="57" w:type="dxa"/>
              <w:right w:w="57" w:type="dxa"/>
            </w:tcMar>
            <w:vAlign w:val="center"/>
          </w:tcPr>
          <w:p>
            <w:pPr>
              <w:spacing w:after="0" w:afterLines="0"/>
              <w:jc w:val="both"/>
              <w:rPr>
                <w:color w:val="auto"/>
                <w:kern w:val="2"/>
                <w:sz w:val="15"/>
                <w:szCs w:val="15"/>
              </w:rPr>
            </w:pPr>
            <w:r>
              <w:rPr>
                <w:b/>
                <w:color w:val="auto"/>
                <w:kern w:val="2"/>
                <w:sz w:val="15"/>
                <w:szCs w:val="15"/>
              </w:rPr>
              <w:t>固</w:t>
            </w:r>
            <w:r>
              <w:rPr>
                <w:rFonts w:hint="eastAsia"/>
                <w:b/>
                <w:color w:val="auto"/>
                <w:kern w:val="2"/>
                <w:sz w:val="15"/>
                <w:szCs w:val="15"/>
              </w:rPr>
              <w:t>体</w:t>
            </w:r>
            <w:r>
              <w:rPr>
                <w:b/>
                <w:color w:val="auto"/>
                <w:kern w:val="2"/>
                <w:sz w:val="15"/>
                <w:szCs w:val="15"/>
              </w:rPr>
              <w:t>废</w:t>
            </w:r>
            <w:r>
              <w:rPr>
                <w:rFonts w:hint="eastAsia"/>
                <w:b/>
                <w:color w:val="auto"/>
                <w:kern w:val="2"/>
                <w:sz w:val="15"/>
                <w:szCs w:val="15"/>
              </w:rPr>
              <w:t>物</w:t>
            </w:r>
            <w:r>
              <w:rPr>
                <w:b/>
                <w:color w:val="auto"/>
                <w:kern w:val="2"/>
                <w:sz w:val="15"/>
                <w:szCs w:val="15"/>
              </w:rPr>
              <w:t>治理（万元）</w:t>
            </w:r>
          </w:p>
        </w:tc>
        <w:tc>
          <w:tcPr>
            <w:tcW w:w="1740"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1</w:t>
            </w:r>
          </w:p>
        </w:tc>
        <w:tc>
          <w:tcPr>
            <w:tcW w:w="1320" w:type="dxa"/>
            <w:tcMar>
              <w:left w:w="57" w:type="dxa"/>
              <w:right w:w="57" w:type="dxa"/>
            </w:tcMar>
            <w:vAlign w:val="center"/>
          </w:tcPr>
          <w:p>
            <w:pPr>
              <w:spacing w:after="0" w:afterLines="0"/>
              <w:rPr>
                <w:b/>
                <w:color w:val="auto"/>
                <w:kern w:val="2"/>
                <w:sz w:val="15"/>
                <w:szCs w:val="15"/>
              </w:rPr>
            </w:pPr>
            <w:r>
              <w:rPr>
                <w:b/>
                <w:color w:val="auto"/>
                <w:kern w:val="2"/>
                <w:sz w:val="15"/>
                <w:szCs w:val="15"/>
              </w:rPr>
              <w:t>绿化及生态（万元）</w:t>
            </w:r>
          </w:p>
        </w:tc>
        <w:tc>
          <w:tcPr>
            <w:tcW w:w="1031"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1.5</w:t>
            </w:r>
          </w:p>
        </w:tc>
        <w:tc>
          <w:tcPr>
            <w:tcW w:w="1102" w:type="dxa"/>
            <w:gridSpan w:val="2"/>
            <w:tcMar>
              <w:left w:w="57" w:type="dxa"/>
              <w:right w:w="57" w:type="dxa"/>
            </w:tcMar>
            <w:vAlign w:val="center"/>
          </w:tcPr>
          <w:p>
            <w:pPr>
              <w:spacing w:after="0" w:afterLines="0"/>
              <w:jc w:val="center"/>
              <w:rPr>
                <w:b/>
                <w:color w:val="auto"/>
                <w:kern w:val="2"/>
                <w:sz w:val="15"/>
                <w:szCs w:val="15"/>
              </w:rPr>
            </w:pPr>
            <w:r>
              <w:rPr>
                <w:b/>
                <w:color w:val="auto"/>
                <w:kern w:val="2"/>
                <w:sz w:val="15"/>
                <w:szCs w:val="15"/>
              </w:rPr>
              <w:t>其</w:t>
            </w:r>
            <w:r>
              <w:rPr>
                <w:rFonts w:hint="eastAsia"/>
                <w:b/>
                <w:color w:val="auto"/>
                <w:kern w:val="2"/>
                <w:sz w:val="15"/>
                <w:szCs w:val="15"/>
              </w:rPr>
              <w:t>他</w:t>
            </w:r>
            <w:r>
              <w:rPr>
                <w:b/>
                <w:color w:val="auto"/>
                <w:kern w:val="2"/>
                <w:sz w:val="15"/>
                <w:szCs w:val="15"/>
              </w:rPr>
              <w:t>（万元）</w:t>
            </w:r>
          </w:p>
        </w:tc>
        <w:tc>
          <w:tcPr>
            <w:tcW w:w="794" w:type="dxa"/>
            <w:tcMar>
              <w:left w:w="57" w:type="dxa"/>
              <w:right w:w="57" w:type="dxa"/>
            </w:tcMar>
            <w:vAlign w:val="top"/>
          </w:tcPr>
          <w:p>
            <w:pPr>
              <w:spacing w:after="0" w:afterLines="0"/>
              <w:rPr>
                <w:color w:val="auto"/>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新增废水处理设施能力</w:t>
            </w:r>
          </w:p>
        </w:tc>
        <w:tc>
          <w:tcPr>
            <w:tcW w:w="5340" w:type="dxa"/>
            <w:gridSpan w:val="6"/>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2280" w:type="dxa"/>
            <w:gridSpan w:val="2"/>
            <w:tcMar>
              <w:left w:w="57" w:type="dxa"/>
              <w:right w:w="57" w:type="dxa"/>
            </w:tcMar>
            <w:vAlign w:val="top"/>
          </w:tcPr>
          <w:p>
            <w:pPr>
              <w:spacing w:after="0" w:afterLines="0"/>
              <w:rPr>
                <w:color w:val="auto"/>
                <w:kern w:val="2"/>
                <w:sz w:val="15"/>
                <w:szCs w:val="15"/>
              </w:rPr>
            </w:pPr>
            <w:r>
              <w:rPr>
                <w:b/>
                <w:color w:val="auto"/>
                <w:kern w:val="2"/>
                <w:sz w:val="15"/>
                <w:szCs w:val="15"/>
              </w:rPr>
              <w:t>新增废气处理设施能力</w:t>
            </w:r>
          </w:p>
        </w:tc>
        <w:tc>
          <w:tcPr>
            <w:tcW w:w="1740" w:type="dxa"/>
            <w:tcMar>
              <w:left w:w="57" w:type="dxa"/>
              <w:right w:w="57" w:type="dxa"/>
            </w:tcMar>
            <w:vAlign w:val="top"/>
          </w:tcPr>
          <w:p>
            <w:pPr>
              <w:spacing w:after="0" w:afterLines="0"/>
              <w:rPr>
                <w:color w:val="auto"/>
                <w:kern w:val="2"/>
                <w:sz w:val="15"/>
                <w:szCs w:val="15"/>
              </w:rPr>
            </w:pPr>
          </w:p>
        </w:tc>
        <w:tc>
          <w:tcPr>
            <w:tcW w:w="1320" w:type="dxa"/>
            <w:tcMar>
              <w:left w:w="57" w:type="dxa"/>
              <w:right w:w="57" w:type="dxa"/>
            </w:tcMar>
            <w:vAlign w:val="top"/>
          </w:tcPr>
          <w:p>
            <w:pPr>
              <w:spacing w:after="0" w:afterLines="0"/>
              <w:rPr>
                <w:color w:val="auto"/>
                <w:kern w:val="2"/>
                <w:sz w:val="15"/>
                <w:szCs w:val="15"/>
              </w:rPr>
            </w:pPr>
            <w:r>
              <w:rPr>
                <w:b/>
                <w:color w:val="auto"/>
                <w:kern w:val="2"/>
                <w:sz w:val="15"/>
                <w:szCs w:val="15"/>
              </w:rPr>
              <w:t>年平均工作时</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69" w:type="dxa"/>
            <w:gridSpan w:val="4"/>
            <w:tcMar>
              <w:left w:w="57" w:type="dxa"/>
              <w:right w:w="57" w:type="dxa"/>
            </w:tcMar>
            <w:vAlign w:val="center"/>
          </w:tcPr>
          <w:p>
            <w:pPr>
              <w:spacing w:after="0" w:afterLines="0"/>
              <w:jc w:val="center"/>
              <w:rPr>
                <w:b/>
                <w:color w:val="000000"/>
                <w:kern w:val="2"/>
                <w:sz w:val="15"/>
                <w:szCs w:val="15"/>
              </w:rPr>
            </w:pPr>
            <w:r>
              <w:rPr>
                <w:b/>
                <w:color w:val="000000"/>
                <w:kern w:val="2"/>
                <w:sz w:val="15"/>
                <w:szCs w:val="15"/>
              </w:rPr>
              <w:t>运营单位</w:t>
            </w:r>
          </w:p>
        </w:tc>
        <w:tc>
          <w:tcPr>
            <w:tcW w:w="4284" w:type="dxa"/>
            <w:gridSpan w:val="4"/>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color w:val="000000"/>
                <w:kern w:val="2"/>
                <w:sz w:val="15"/>
                <w:szCs w:val="15"/>
                <w:lang w:val="en-US" w:eastAsia="zh-CN"/>
              </w:rPr>
              <w:t>三门县海威电气有限公司</w:t>
            </w:r>
          </w:p>
        </w:tc>
        <w:tc>
          <w:tcPr>
            <w:tcW w:w="3336" w:type="dxa"/>
            <w:gridSpan w:val="4"/>
            <w:tcMar>
              <w:left w:w="57" w:type="dxa"/>
              <w:right w:w="57" w:type="dxa"/>
            </w:tcMar>
            <w:vAlign w:val="center"/>
          </w:tcPr>
          <w:p>
            <w:pPr>
              <w:spacing w:after="0" w:afterLines="0"/>
              <w:jc w:val="center"/>
              <w:rPr>
                <w:color w:val="auto"/>
                <w:kern w:val="2"/>
                <w:sz w:val="15"/>
                <w:szCs w:val="15"/>
              </w:rPr>
            </w:pPr>
            <w:r>
              <w:rPr>
                <w:b/>
                <w:color w:val="auto"/>
                <w:kern w:val="2"/>
                <w:sz w:val="15"/>
                <w:szCs w:val="15"/>
              </w:rPr>
              <w:t>运营单位</w:t>
            </w:r>
            <w:r>
              <w:rPr>
                <w:rFonts w:hint="eastAsia"/>
                <w:b/>
                <w:color w:val="auto"/>
                <w:kern w:val="2"/>
                <w:sz w:val="15"/>
                <w:szCs w:val="15"/>
              </w:rPr>
              <w:t>社会统一信用代码（或组织机构代码）</w:t>
            </w:r>
          </w:p>
        </w:tc>
        <w:tc>
          <w:tcPr>
            <w:tcW w:w="1740" w:type="dxa"/>
            <w:tcMar>
              <w:left w:w="57" w:type="dxa"/>
              <w:right w:w="57" w:type="dxa"/>
            </w:tcMar>
            <w:vAlign w:val="center"/>
          </w:tcPr>
          <w:p>
            <w:pPr>
              <w:spacing w:after="0" w:afterLines="0"/>
              <w:jc w:val="center"/>
              <w:rPr>
                <w:rFonts w:hint="eastAsia" w:eastAsia="微软雅黑"/>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913310227384073846</w:t>
            </w:r>
          </w:p>
        </w:tc>
        <w:tc>
          <w:tcPr>
            <w:tcW w:w="1320" w:type="dxa"/>
            <w:tcMar>
              <w:left w:w="57" w:type="dxa"/>
              <w:right w:w="57" w:type="dxa"/>
            </w:tcMar>
            <w:vAlign w:val="center"/>
          </w:tcPr>
          <w:p>
            <w:pPr>
              <w:spacing w:after="0" w:afterLines="0"/>
              <w:jc w:val="both"/>
              <w:rPr>
                <w:b/>
                <w:color w:val="auto"/>
                <w:kern w:val="2"/>
                <w:sz w:val="15"/>
                <w:szCs w:val="15"/>
              </w:rPr>
            </w:pPr>
            <w:r>
              <w:rPr>
                <w:b/>
                <w:color w:val="auto"/>
                <w:kern w:val="2"/>
                <w:sz w:val="15"/>
                <w:szCs w:val="15"/>
              </w:rPr>
              <w:t>验收时间</w:t>
            </w:r>
          </w:p>
        </w:tc>
        <w:tc>
          <w:tcPr>
            <w:tcW w:w="2927" w:type="dxa"/>
            <w:gridSpan w:val="4"/>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2018年08月22-23日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after="0" w:afterLines="0"/>
              <w:rPr>
                <w:rFonts w:eastAsia="黑体"/>
                <w:b/>
                <w:color w:val="000000"/>
                <w:spacing w:val="20"/>
                <w:kern w:val="2"/>
                <w:sz w:val="15"/>
                <w:szCs w:val="15"/>
              </w:rPr>
            </w:pPr>
            <w:r>
              <w:rPr>
                <w:rFonts w:eastAsia="黑体"/>
                <w:b/>
                <w:color w:val="000000"/>
                <w:spacing w:val="20"/>
                <w:kern w:val="2"/>
                <w:sz w:val="15"/>
                <w:szCs w:val="15"/>
              </w:rPr>
              <w:t>污染</w:t>
            </w:r>
          </w:p>
          <w:p>
            <w:pPr>
              <w:spacing w:after="0" w:afterLines="0"/>
              <w:rPr>
                <w:rFonts w:eastAsia="黑体"/>
                <w:b/>
                <w:color w:val="000000"/>
                <w:spacing w:val="20"/>
                <w:kern w:val="2"/>
                <w:sz w:val="15"/>
                <w:szCs w:val="15"/>
              </w:rPr>
            </w:pPr>
            <w:r>
              <w:rPr>
                <w:rFonts w:eastAsia="黑体"/>
                <w:b/>
                <w:color w:val="000000"/>
                <w:spacing w:val="20"/>
                <w:kern w:val="2"/>
                <w:sz w:val="15"/>
                <w:szCs w:val="15"/>
              </w:rPr>
              <w:t>物排</w:t>
            </w:r>
          </w:p>
          <w:p>
            <w:pPr>
              <w:spacing w:after="0" w:afterLines="0"/>
              <w:rPr>
                <w:rFonts w:eastAsia="黑体"/>
                <w:b/>
                <w:color w:val="000000"/>
                <w:spacing w:val="20"/>
                <w:kern w:val="2"/>
                <w:sz w:val="15"/>
                <w:szCs w:val="15"/>
              </w:rPr>
            </w:pPr>
            <w:r>
              <w:rPr>
                <w:rFonts w:eastAsia="黑体"/>
                <w:b/>
                <w:color w:val="000000"/>
                <w:spacing w:val="20"/>
                <w:kern w:val="2"/>
                <w:sz w:val="15"/>
                <w:szCs w:val="15"/>
              </w:rPr>
              <w:t>放达</w:t>
            </w:r>
          </w:p>
          <w:p>
            <w:pPr>
              <w:spacing w:after="0" w:afterLines="0"/>
              <w:rPr>
                <w:rFonts w:eastAsia="黑体"/>
                <w:b/>
                <w:color w:val="000000"/>
                <w:spacing w:val="20"/>
                <w:kern w:val="2"/>
                <w:sz w:val="15"/>
                <w:szCs w:val="15"/>
              </w:rPr>
            </w:pPr>
            <w:r>
              <w:rPr>
                <w:rFonts w:eastAsia="黑体"/>
                <w:b/>
                <w:color w:val="000000"/>
                <w:spacing w:val="20"/>
                <w:kern w:val="2"/>
                <w:sz w:val="15"/>
                <w:szCs w:val="15"/>
              </w:rPr>
              <w:t>标与</w:t>
            </w:r>
          </w:p>
          <w:p>
            <w:pPr>
              <w:spacing w:after="0" w:afterLines="0"/>
              <w:rPr>
                <w:rFonts w:eastAsia="黑体"/>
                <w:b/>
                <w:color w:val="000000"/>
                <w:spacing w:val="20"/>
                <w:kern w:val="2"/>
                <w:sz w:val="15"/>
                <w:szCs w:val="15"/>
              </w:rPr>
            </w:pPr>
            <w:r>
              <w:rPr>
                <w:rFonts w:eastAsia="黑体"/>
                <w:b/>
                <w:color w:val="000000"/>
                <w:spacing w:val="20"/>
                <w:kern w:val="2"/>
                <w:sz w:val="15"/>
                <w:szCs w:val="15"/>
              </w:rPr>
              <w:t>总量</w:t>
            </w:r>
          </w:p>
          <w:p>
            <w:pPr>
              <w:spacing w:after="0" w:afterLines="0"/>
              <w:rPr>
                <w:rFonts w:eastAsia="黑体"/>
                <w:b/>
                <w:color w:val="000000"/>
                <w:spacing w:val="20"/>
                <w:kern w:val="2"/>
                <w:sz w:val="15"/>
                <w:szCs w:val="15"/>
              </w:rPr>
            </w:pPr>
            <w:r>
              <w:rPr>
                <w:rFonts w:eastAsia="黑体"/>
                <w:b/>
                <w:color w:val="000000"/>
                <w:spacing w:val="20"/>
                <w:kern w:val="2"/>
                <w:sz w:val="15"/>
                <w:szCs w:val="15"/>
              </w:rPr>
              <w:t>控制（工</w:t>
            </w:r>
          </w:p>
          <w:p>
            <w:pPr>
              <w:spacing w:after="0" w:afterLines="0"/>
              <w:rPr>
                <w:rFonts w:eastAsia="黑体"/>
                <w:b/>
                <w:color w:val="000000"/>
                <w:spacing w:val="20"/>
                <w:kern w:val="2"/>
                <w:sz w:val="15"/>
                <w:szCs w:val="15"/>
              </w:rPr>
            </w:pPr>
            <w:r>
              <w:rPr>
                <w:rFonts w:eastAsia="黑体"/>
                <w:b/>
                <w:color w:val="000000"/>
                <w:spacing w:val="20"/>
                <w:kern w:val="2"/>
                <w:sz w:val="15"/>
                <w:szCs w:val="15"/>
              </w:rPr>
              <w:t>业建</w:t>
            </w:r>
          </w:p>
          <w:p>
            <w:pPr>
              <w:spacing w:after="0" w:afterLines="0"/>
              <w:rPr>
                <w:rFonts w:eastAsia="黑体"/>
                <w:b/>
                <w:color w:val="000000"/>
                <w:spacing w:val="20"/>
                <w:kern w:val="2"/>
                <w:sz w:val="15"/>
                <w:szCs w:val="15"/>
              </w:rPr>
            </w:pPr>
            <w:r>
              <w:rPr>
                <w:rFonts w:eastAsia="黑体"/>
                <w:b/>
                <w:color w:val="000000"/>
                <w:spacing w:val="20"/>
                <w:kern w:val="2"/>
                <w:sz w:val="15"/>
                <w:szCs w:val="15"/>
              </w:rPr>
              <w:t>设项</w:t>
            </w:r>
          </w:p>
          <w:p>
            <w:pPr>
              <w:spacing w:after="0" w:afterLines="0"/>
              <w:rPr>
                <w:rFonts w:eastAsia="黑体"/>
                <w:b/>
                <w:color w:val="000000"/>
                <w:spacing w:val="20"/>
                <w:kern w:val="2"/>
                <w:sz w:val="15"/>
                <w:szCs w:val="15"/>
              </w:rPr>
            </w:pPr>
            <w:r>
              <w:rPr>
                <w:rFonts w:eastAsia="黑体"/>
                <w:b/>
                <w:color w:val="000000"/>
                <w:spacing w:val="20"/>
                <w:kern w:val="2"/>
                <w:sz w:val="15"/>
                <w:szCs w:val="15"/>
              </w:rPr>
              <w:t>目详填）</w:t>
            </w:r>
          </w:p>
        </w:tc>
        <w:tc>
          <w:tcPr>
            <w:tcW w:w="1671" w:type="dxa"/>
            <w:gridSpan w:val="2"/>
            <w:tcMar>
              <w:left w:w="57" w:type="dxa"/>
              <w:right w:w="57" w:type="dxa"/>
            </w:tcMar>
            <w:vAlign w:val="center"/>
          </w:tcPr>
          <w:p>
            <w:pPr>
              <w:spacing w:after="0" w:afterLines="0"/>
              <w:rPr>
                <w:color w:val="000000"/>
                <w:kern w:val="2"/>
                <w:sz w:val="15"/>
                <w:szCs w:val="15"/>
              </w:rPr>
            </w:pPr>
            <w:r>
              <w:rPr>
                <w:b/>
                <w:color w:val="000000"/>
                <w:kern w:val="2"/>
                <w:sz w:val="15"/>
                <w:szCs w:val="15"/>
              </w:rPr>
              <w:t>污染物</w:t>
            </w:r>
          </w:p>
        </w:tc>
        <w:tc>
          <w:tcPr>
            <w:tcW w:w="953" w:type="dxa"/>
            <w:tcMar>
              <w:left w:w="57" w:type="dxa"/>
              <w:right w:w="57" w:type="dxa"/>
            </w:tcMar>
            <w:vAlign w:val="center"/>
          </w:tcPr>
          <w:p>
            <w:pPr>
              <w:spacing w:after="0" w:afterLines="0"/>
              <w:rPr>
                <w:b/>
                <w:color w:val="000000"/>
                <w:kern w:val="2"/>
                <w:sz w:val="15"/>
                <w:szCs w:val="15"/>
              </w:rPr>
            </w:pPr>
            <w:r>
              <w:rPr>
                <w:b/>
                <w:color w:val="000000"/>
                <w:kern w:val="2"/>
                <w:sz w:val="15"/>
                <w:szCs w:val="15"/>
              </w:rPr>
              <w:t>原有排</w:t>
            </w:r>
          </w:p>
          <w:p>
            <w:pPr>
              <w:spacing w:after="0" w:afterLines="0"/>
              <w:rPr>
                <w:b/>
                <w:color w:val="000000"/>
                <w:kern w:val="2"/>
                <w:sz w:val="15"/>
                <w:szCs w:val="15"/>
              </w:rPr>
            </w:pPr>
            <w:r>
              <w:rPr>
                <w:b/>
                <w:color w:val="000000"/>
                <w:kern w:val="2"/>
                <w:sz w:val="15"/>
                <w:szCs w:val="15"/>
              </w:rPr>
              <w:t>放量(1)</w:t>
            </w:r>
          </w:p>
        </w:tc>
        <w:tc>
          <w:tcPr>
            <w:tcW w:w="1252"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本期工程实际排放浓度(2)</w:t>
            </w:r>
          </w:p>
        </w:tc>
        <w:tc>
          <w:tcPr>
            <w:tcW w:w="1050"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本期工程允许排放浓度(3)</w:t>
            </w:r>
          </w:p>
        </w:tc>
        <w:tc>
          <w:tcPr>
            <w:tcW w:w="1029"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本期工程产生量(4)</w:t>
            </w:r>
          </w:p>
        </w:tc>
        <w:tc>
          <w:tcPr>
            <w:tcW w:w="1056" w:type="dxa"/>
            <w:gridSpan w:val="2"/>
            <w:tcMar>
              <w:left w:w="57" w:type="dxa"/>
              <w:right w:w="57" w:type="dxa"/>
            </w:tcMar>
            <w:vAlign w:val="center"/>
          </w:tcPr>
          <w:p>
            <w:pPr>
              <w:spacing w:after="0" w:afterLines="0"/>
              <w:rPr>
                <w:b/>
                <w:color w:val="000000"/>
                <w:kern w:val="2"/>
                <w:sz w:val="15"/>
                <w:szCs w:val="15"/>
              </w:rPr>
            </w:pPr>
            <w:r>
              <w:rPr>
                <w:b/>
                <w:color w:val="000000"/>
                <w:kern w:val="2"/>
                <w:sz w:val="15"/>
                <w:szCs w:val="15"/>
              </w:rPr>
              <w:t>本期工程自身削减量(5)</w:t>
            </w:r>
          </w:p>
        </w:tc>
        <w:tc>
          <w:tcPr>
            <w:tcW w:w="1125"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本期工程实际排放量(6)</w:t>
            </w:r>
          </w:p>
        </w:tc>
        <w:tc>
          <w:tcPr>
            <w:tcW w:w="1155" w:type="dxa"/>
            <w:tcMar>
              <w:left w:w="57" w:type="dxa"/>
              <w:right w:w="57" w:type="dxa"/>
            </w:tcMar>
            <w:vAlign w:val="center"/>
          </w:tcPr>
          <w:p>
            <w:pPr>
              <w:spacing w:after="0" w:afterLines="0"/>
              <w:jc w:val="center"/>
              <w:rPr>
                <w:b/>
                <w:color w:val="000000"/>
                <w:kern w:val="2"/>
                <w:sz w:val="15"/>
                <w:szCs w:val="15"/>
              </w:rPr>
            </w:pPr>
            <w:r>
              <w:rPr>
                <w:b/>
                <w:color w:val="000000"/>
                <w:kern w:val="2"/>
                <w:sz w:val="15"/>
                <w:szCs w:val="15"/>
              </w:rPr>
              <w:t>本期工程核定排放总量(7)</w:t>
            </w:r>
          </w:p>
        </w:tc>
        <w:tc>
          <w:tcPr>
            <w:tcW w:w="1740"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本期工程“以新带老”削减量(8)</w:t>
            </w:r>
          </w:p>
        </w:tc>
        <w:tc>
          <w:tcPr>
            <w:tcW w:w="1320" w:type="dxa"/>
            <w:tcMar>
              <w:left w:w="57" w:type="dxa"/>
              <w:right w:w="57" w:type="dxa"/>
            </w:tcMar>
            <w:vAlign w:val="center"/>
          </w:tcPr>
          <w:p>
            <w:pPr>
              <w:spacing w:after="0" w:afterLines="0"/>
              <w:rPr>
                <w:b/>
                <w:color w:val="000000"/>
                <w:kern w:val="2"/>
                <w:sz w:val="15"/>
                <w:szCs w:val="15"/>
              </w:rPr>
            </w:pPr>
            <w:r>
              <w:rPr>
                <w:b/>
                <w:color w:val="000000"/>
                <w:kern w:val="2"/>
                <w:sz w:val="15"/>
                <w:szCs w:val="15"/>
              </w:rPr>
              <w:t>全厂实际排放总量(9)</w:t>
            </w:r>
          </w:p>
        </w:tc>
        <w:tc>
          <w:tcPr>
            <w:tcW w:w="1031"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全厂核定排放总量(10)</w:t>
            </w:r>
          </w:p>
        </w:tc>
        <w:tc>
          <w:tcPr>
            <w:tcW w:w="1102" w:type="dxa"/>
            <w:gridSpan w:val="2"/>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区域平衡替代削减量(11)</w:t>
            </w:r>
          </w:p>
        </w:tc>
        <w:tc>
          <w:tcPr>
            <w:tcW w:w="794"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 w:hRule="atLeast"/>
          <w:jc w:val="center"/>
        </w:trPr>
        <w:tc>
          <w:tcPr>
            <w:tcW w:w="598" w:type="dxa"/>
            <w:gridSpan w:val="2"/>
            <w:vMerge w:val="continue"/>
            <w:tcMar>
              <w:left w:w="57" w:type="dxa"/>
              <w:right w:w="57" w:type="dxa"/>
            </w:tcMar>
            <w:vAlign w:val="center"/>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color w:val="000000"/>
                <w:kern w:val="2"/>
                <w:sz w:val="15"/>
                <w:szCs w:val="15"/>
              </w:rPr>
            </w:pPr>
            <w:r>
              <w:rPr>
                <w:b/>
                <w:color w:val="000000"/>
                <w:kern w:val="2"/>
                <w:sz w:val="15"/>
                <w:szCs w:val="15"/>
              </w:rPr>
              <w:t>废水</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0.018</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0.018</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r>
              <w:rPr>
                <w:b/>
                <w:color w:val="000000"/>
                <w:kern w:val="2"/>
                <w:sz w:val="15"/>
                <w:szCs w:val="15"/>
              </w:rPr>
              <w:t>化学需氧量</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0.011</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0.011</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r>
              <w:rPr>
                <w:b/>
                <w:color w:val="000000"/>
                <w:kern w:val="2"/>
                <w:sz w:val="15"/>
                <w:szCs w:val="15"/>
              </w:rPr>
              <w:t>氨氮</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0.001</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0.001</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hint="eastAsia" w:eastAsia="微软雅黑"/>
                <w:b/>
                <w:color w:val="000000"/>
                <w:kern w:val="2"/>
                <w:sz w:val="15"/>
                <w:szCs w:val="15"/>
                <w:lang w:val="en-US" w:eastAsia="zh-CN"/>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eastAsia="微软雅黑"/>
                <w:color w:val="FF0000"/>
                <w:kern w:val="2"/>
                <w:sz w:val="15"/>
                <w:szCs w:val="15"/>
                <w:lang w:val="en-US" w:eastAsia="zh-CN"/>
              </w:rPr>
            </w:pPr>
          </w:p>
        </w:tc>
        <w:tc>
          <w:tcPr>
            <w:tcW w:w="1031" w:type="dxa"/>
            <w:tcMar>
              <w:left w:w="57" w:type="dxa"/>
              <w:right w:w="57" w:type="dxa"/>
            </w:tcMar>
            <w:vAlign w:val="center"/>
          </w:tcPr>
          <w:p>
            <w:pPr>
              <w:spacing w:after="0" w:afterLines="0"/>
              <w:jc w:val="center"/>
              <w:rPr>
                <w:color w:val="FF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eastAsia="黑体"/>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textAlignment w:val="center"/>
              <w:rPr>
                <w:color w:val="000000"/>
                <w:kern w:val="2"/>
                <w:sz w:val="15"/>
                <w:szCs w:val="15"/>
              </w:rPr>
            </w:pPr>
          </w:p>
        </w:tc>
        <w:tc>
          <w:tcPr>
            <w:tcW w:w="794" w:type="dxa"/>
            <w:tcMar>
              <w:left w:w="57" w:type="dxa"/>
              <w:right w:w="57" w:type="dxa"/>
            </w:tcMar>
            <w:vAlign w:val="center"/>
          </w:tcPr>
          <w:p>
            <w:pPr>
              <w:spacing w:after="0" w:afterLines="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textAlignment w:val="center"/>
              <w:rPr>
                <w:color w:val="000000"/>
                <w:kern w:val="2"/>
                <w:sz w:val="15"/>
                <w:szCs w:val="15"/>
              </w:rPr>
            </w:pPr>
          </w:p>
        </w:tc>
        <w:tc>
          <w:tcPr>
            <w:tcW w:w="794" w:type="dxa"/>
            <w:tcMar>
              <w:left w:w="57" w:type="dxa"/>
              <w:right w:w="57" w:type="dxa"/>
            </w:tcMar>
            <w:vAlign w:val="center"/>
          </w:tcPr>
          <w:p>
            <w:pPr>
              <w:spacing w:after="0" w:afterLines="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eastAsia="黑体"/>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restart"/>
            <w:tcMar>
              <w:left w:w="57" w:type="dxa"/>
              <w:right w:w="57" w:type="dxa"/>
            </w:tcMar>
            <w:vAlign w:val="top"/>
          </w:tcPr>
          <w:p>
            <w:pPr>
              <w:spacing w:after="0" w:afterLines="0"/>
              <w:jc w:val="both"/>
              <w:rPr>
                <w:color w:val="000000"/>
                <w:kern w:val="2"/>
                <w:sz w:val="15"/>
                <w:szCs w:val="15"/>
              </w:rPr>
            </w:pPr>
            <w:r>
              <w:rPr>
                <w:b/>
                <w:color w:val="000000"/>
                <w:kern w:val="2"/>
                <w:sz w:val="15"/>
                <w:szCs w:val="15"/>
              </w:rPr>
              <w:t>与项目有关的其</w:t>
            </w:r>
            <w:r>
              <w:rPr>
                <w:rFonts w:hint="eastAsia"/>
                <w:b/>
                <w:color w:val="000000"/>
                <w:kern w:val="2"/>
                <w:sz w:val="15"/>
                <w:szCs w:val="15"/>
              </w:rPr>
              <w:t>他</w:t>
            </w:r>
            <w:r>
              <w:rPr>
                <w:b/>
                <w:color w:val="000000"/>
                <w:kern w:val="2"/>
                <w:sz w:val="15"/>
                <w:szCs w:val="15"/>
              </w:rPr>
              <w:t>特征污染物</w:t>
            </w: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continue"/>
            <w:tcMar>
              <w:left w:w="57" w:type="dxa"/>
              <w:right w:w="57" w:type="dxa"/>
            </w:tcMar>
            <w:vAlign w:val="top"/>
          </w:tcPr>
          <w:p>
            <w:pPr>
              <w:spacing w:after="0" w:afterLines="0"/>
              <w:rPr>
                <w:b/>
                <w:color w:val="000000"/>
                <w:kern w:val="2"/>
                <w:sz w:val="15"/>
                <w:szCs w:val="15"/>
              </w:rPr>
            </w:pP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continue"/>
            <w:tcMar>
              <w:left w:w="57" w:type="dxa"/>
              <w:right w:w="57" w:type="dxa"/>
            </w:tcMar>
            <w:vAlign w:val="top"/>
          </w:tcPr>
          <w:p>
            <w:pPr>
              <w:spacing w:after="0" w:afterLines="0"/>
              <w:rPr>
                <w:b/>
                <w:color w:val="000000"/>
                <w:kern w:val="2"/>
                <w:sz w:val="15"/>
                <w:szCs w:val="15"/>
              </w:rPr>
            </w:pP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top"/>
          </w:tcPr>
          <w:p>
            <w:pPr>
              <w:spacing w:after="0" w:afterLines="0"/>
              <w:jc w:val="center"/>
              <w:rPr>
                <w:color w:val="000000"/>
                <w:kern w:val="2"/>
                <w:sz w:val="15"/>
                <w:szCs w:val="15"/>
              </w:rPr>
            </w:pPr>
          </w:p>
        </w:tc>
        <w:tc>
          <w:tcPr>
            <w:tcW w:w="1252" w:type="dxa"/>
            <w:tcMar>
              <w:left w:w="57" w:type="dxa"/>
              <w:right w:w="57" w:type="dxa"/>
            </w:tcMar>
            <w:vAlign w:val="top"/>
          </w:tcPr>
          <w:p>
            <w:pPr>
              <w:spacing w:after="0" w:afterLines="0"/>
              <w:jc w:val="center"/>
              <w:rPr>
                <w:color w:val="000000"/>
                <w:kern w:val="2"/>
                <w:sz w:val="15"/>
                <w:szCs w:val="15"/>
              </w:rPr>
            </w:pPr>
          </w:p>
        </w:tc>
        <w:tc>
          <w:tcPr>
            <w:tcW w:w="1050" w:type="dxa"/>
            <w:tcMar>
              <w:left w:w="57" w:type="dxa"/>
              <w:right w:w="57" w:type="dxa"/>
            </w:tcMar>
            <w:vAlign w:val="top"/>
          </w:tcPr>
          <w:p>
            <w:pPr>
              <w:spacing w:after="0" w:afterLines="0"/>
              <w:jc w:val="center"/>
              <w:rPr>
                <w:color w:val="000000"/>
                <w:kern w:val="2"/>
                <w:sz w:val="15"/>
                <w:szCs w:val="15"/>
              </w:rPr>
            </w:pPr>
          </w:p>
        </w:tc>
        <w:tc>
          <w:tcPr>
            <w:tcW w:w="1029" w:type="dxa"/>
            <w:tcMar>
              <w:left w:w="57" w:type="dxa"/>
              <w:right w:w="57" w:type="dxa"/>
            </w:tcMar>
            <w:vAlign w:val="top"/>
          </w:tcPr>
          <w:p>
            <w:pPr>
              <w:spacing w:after="0" w:afterLines="0"/>
              <w:jc w:val="center"/>
              <w:rPr>
                <w:color w:val="000000"/>
                <w:kern w:val="2"/>
                <w:sz w:val="15"/>
                <w:szCs w:val="15"/>
              </w:rPr>
            </w:pPr>
          </w:p>
        </w:tc>
        <w:tc>
          <w:tcPr>
            <w:tcW w:w="1056" w:type="dxa"/>
            <w:gridSpan w:val="2"/>
            <w:tcMar>
              <w:left w:w="57" w:type="dxa"/>
              <w:right w:w="57" w:type="dxa"/>
            </w:tcMar>
            <w:vAlign w:val="top"/>
          </w:tcPr>
          <w:p>
            <w:pPr>
              <w:spacing w:after="0" w:afterLines="0"/>
              <w:jc w:val="center"/>
              <w:rPr>
                <w:color w:val="000000"/>
                <w:kern w:val="2"/>
                <w:sz w:val="15"/>
                <w:szCs w:val="15"/>
              </w:rPr>
            </w:pPr>
          </w:p>
        </w:tc>
        <w:tc>
          <w:tcPr>
            <w:tcW w:w="1125" w:type="dxa"/>
            <w:tcMar>
              <w:left w:w="57" w:type="dxa"/>
              <w:right w:w="57" w:type="dxa"/>
            </w:tcMar>
            <w:vAlign w:val="top"/>
          </w:tcPr>
          <w:p>
            <w:pPr>
              <w:spacing w:after="0" w:afterLines="0"/>
              <w:jc w:val="center"/>
              <w:rPr>
                <w:color w:val="000000"/>
                <w:kern w:val="2"/>
                <w:sz w:val="15"/>
                <w:szCs w:val="15"/>
              </w:rPr>
            </w:pPr>
          </w:p>
        </w:tc>
        <w:tc>
          <w:tcPr>
            <w:tcW w:w="1155" w:type="dxa"/>
            <w:tcMar>
              <w:left w:w="57" w:type="dxa"/>
              <w:right w:w="57" w:type="dxa"/>
            </w:tcMar>
            <w:vAlign w:val="top"/>
          </w:tcPr>
          <w:p>
            <w:pPr>
              <w:spacing w:after="0" w:afterLines="0"/>
              <w:jc w:val="center"/>
              <w:rPr>
                <w:color w:val="000000"/>
                <w:kern w:val="2"/>
                <w:sz w:val="15"/>
                <w:szCs w:val="15"/>
              </w:rPr>
            </w:pPr>
          </w:p>
        </w:tc>
        <w:tc>
          <w:tcPr>
            <w:tcW w:w="1740" w:type="dxa"/>
            <w:tcMar>
              <w:left w:w="57" w:type="dxa"/>
              <w:right w:w="57" w:type="dxa"/>
            </w:tcMar>
            <w:vAlign w:val="top"/>
          </w:tcPr>
          <w:p>
            <w:pPr>
              <w:spacing w:after="0" w:afterLines="0"/>
              <w:jc w:val="center"/>
              <w:rPr>
                <w:color w:val="000000"/>
                <w:kern w:val="2"/>
                <w:sz w:val="15"/>
                <w:szCs w:val="15"/>
              </w:rPr>
            </w:pPr>
          </w:p>
        </w:tc>
        <w:tc>
          <w:tcPr>
            <w:tcW w:w="1320" w:type="dxa"/>
            <w:tcMar>
              <w:left w:w="57" w:type="dxa"/>
              <w:right w:w="57" w:type="dxa"/>
            </w:tcMar>
            <w:vAlign w:val="top"/>
          </w:tcPr>
          <w:p>
            <w:pPr>
              <w:spacing w:after="0" w:afterLines="0"/>
              <w:jc w:val="center"/>
              <w:rPr>
                <w:color w:val="000000"/>
                <w:kern w:val="2"/>
                <w:sz w:val="15"/>
                <w:szCs w:val="15"/>
              </w:rPr>
            </w:pPr>
          </w:p>
        </w:tc>
        <w:tc>
          <w:tcPr>
            <w:tcW w:w="1031" w:type="dxa"/>
            <w:tcMar>
              <w:left w:w="57" w:type="dxa"/>
              <w:right w:w="57" w:type="dxa"/>
            </w:tcMar>
            <w:vAlign w:val="top"/>
          </w:tcPr>
          <w:p>
            <w:pPr>
              <w:spacing w:after="0" w:afterLines="0"/>
              <w:jc w:val="center"/>
              <w:rPr>
                <w:color w:val="000000"/>
                <w:kern w:val="2"/>
                <w:sz w:val="15"/>
                <w:szCs w:val="15"/>
              </w:rPr>
            </w:pPr>
          </w:p>
        </w:tc>
        <w:tc>
          <w:tcPr>
            <w:tcW w:w="1102" w:type="dxa"/>
            <w:gridSpan w:val="2"/>
            <w:tcMar>
              <w:left w:w="57" w:type="dxa"/>
              <w:right w:w="57" w:type="dxa"/>
            </w:tcMar>
            <w:vAlign w:val="top"/>
          </w:tcPr>
          <w:p>
            <w:pPr>
              <w:spacing w:after="0" w:afterLines="0"/>
              <w:jc w:val="center"/>
              <w:rPr>
                <w:color w:val="000000"/>
                <w:kern w:val="2"/>
                <w:sz w:val="15"/>
                <w:szCs w:val="15"/>
              </w:rPr>
            </w:pPr>
          </w:p>
        </w:tc>
        <w:tc>
          <w:tcPr>
            <w:tcW w:w="794" w:type="dxa"/>
            <w:tcMar>
              <w:left w:w="57" w:type="dxa"/>
              <w:right w:w="57" w:type="dxa"/>
            </w:tcMar>
            <w:vAlign w:val="top"/>
          </w:tcPr>
          <w:p>
            <w:pPr>
              <w:spacing w:after="0" w:afterLines="0"/>
              <w:jc w:val="center"/>
              <w:rPr>
                <w:color w:val="000000"/>
                <w:kern w:val="2"/>
                <w:sz w:val="15"/>
                <w:szCs w:val="15"/>
              </w:rPr>
            </w:pPr>
          </w:p>
        </w:tc>
      </w:tr>
    </w:tbl>
    <w:p>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w:t>
      </w:r>
      <w:r>
        <w:rPr>
          <w:rFonts w:hint="eastAsia"/>
          <w:color w:val="000000"/>
          <w:spacing w:val="-4"/>
          <w:sz w:val="15"/>
          <w:szCs w:val="15"/>
          <w:lang w:val="en-US" w:eastAsia="zh-CN"/>
        </w:rPr>
        <w:t>--</w:t>
      </w:r>
      <w:r>
        <w:rPr>
          <w:color w:val="000000"/>
          <w:spacing w:val="-4"/>
          <w:sz w:val="15"/>
          <w:szCs w:val="15"/>
        </w:rPr>
        <w:t>万吨/年；废气排放量—万标立方米/年；工业固体废物排放</w:t>
      </w:r>
      <w:r>
        <w:rPr>
          <w:color w:val="000000"/>
          <w:sz w:val="15"/>
          <w:szCs w:val="15"/>
        </w:rPr>
        <w:t>量—万吨/年；水污染物排放浓度—毫克/升</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firstLine="360"/>
      <w:jc w:val="left"/>
      <w:rPr>
        <w:rFonts w:hint="eastAsia"/>
        <w:lang w:eastAsia="zh-CN"/>
      </w:rPr>
    </w:pPr>
  </w:p>
  <w:p>
    <w:pPr>
      <w:pStyle w:val="7"/>
      <w:spacing w:after="0" w:afterLines="0"/>
      <w:ind w:right="360"/>
      <w:jc w:val="left"/>
      <w:rPr>
        <w:rFonts w:hint="eastAsia" w:eastAsia="微软雅黑"/>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firstLine="360"/>
      <w:jc w:val="left"/>
      <w:rPr>
        <w:rFonts w:hint="eastAsia"/>
        <w:lang w:eastAsia="zh-CN"/>
      </w:rPr>
    </w:pPr>
  </w:p>
  <w:p>
    <w:pPr>
      <w:pStyle w:val="7"/>
      <w:spacing w:after="0" w:afterLines="0"/>
      <w:ind w:right="360"/>
      <w:jc w:val="left"/>
      <w:rPr>
        <w:rFonts w:hint="eastAsia" w:eastAsia="微软雅黑"/>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jc w:val="left"/>
      <w:rPr>
        <w:rFonts w:hint="eastAsia" w:eastAsia="微软雅黑"/>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firstLine="360"/>
      <w:jc w:val="left"/>
      <w:rPr>
        <w:rFonts w:hint="eastAsia"/>
        <w:lang w:eastAsia="zh-CN"/>
      </w:rPr>
    </w:pPr>
  </w:p>
  <w:p>
    <w:pPr>
      <w:pStyle w:val="7"/>
      <w:spacing w:after="0" w:afterLines="0"/>
      <w:ind w:right="360"/>
      <w:jc w:val="left"/>
      <w:rPr>
        <w:rFonts w:hint="eastAsia" w:eastAsia="微软雅黑"/>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jc w:val="left"/>
      <w:rPr>
        <w:rFonts w:hint="eastAsia"/>
        <w:lang w:eastAsia="zh-CN"/>
      </w:rPr>
    </w:pPr>
  </w:p>
  <w:p>
    <w:pPr>
      <w:pStyle w:val="7"/>
      <w:spacing w:after="0" w:afterLines="0"/>
      <w:ind w:right="360"/>
      <w:jc w:val="left"/>
      <w:rPr>
        <w:rFonts w:hint="eastAsia" w:eastAsia="微软雅黑"/>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spacing w:after="0" w:afterLines="0"/>
                            <w:rPr>
                              <w:rStyle w:val="10"/>
                              <w:rFonts w:hint="eastAsia" w:ascii="宋体" w:hAnsi="宋体" w:eastAsia="宋体"/>
                              <w:sz w:val="28"/>
                              <w:szCs w:val="28"/>
                            </w:rPr>
                          </w:pPr>
                          <w:r>
                            <w:rPr>
                              <w:rStyle w:val="10"/>
                              <w:rFonts w:hint="eastAsia" w:ascii="宋体" w:hAnsi="宋体" w:eastAsia="宋体"/>
                              <w:sz w:val="28"/>
                              <w:szCs w:val="28"/>
                            </w:rPr>
                            <w:t>—</w:t>
                          </w:r>
                          <w:r>
                            <w:rPr>
                              <w:rStyle w:val="10"/>
                              <w:rFonts w:hint="eastAsia" w:ascii="宋体" w:hAnsi="宋体" w:eastAsia="宋体"/>
                              <w:sz w:val="20"/>
                              <w:szCs w:val="20"/>
                            </w:rPr>
                            <w:t xml:space="preserve">  </w:t>
                          </w:r>
                          <w:r>
                            <w:rPr>
                              <w:rFonts w:ascii="宋体" w:hAnsi="宋体" w:eastAsia="宋体"/>
                              <w:sz w:val="26"/>
                              <w:szCs w:val="26"/>
                            </w:rPr>
                            <w:fldChar w:fldCharType="begin"/>
                          </w:r>
                          <w:r>
                            <w:rPr>
                              <w:rStyle w:val="10"/>
                              <w:rFonts w:ascii="宋体" w:hAnsi="宋体" w:eastAsia="宋体"/>
                              <w:sz w:val="26"/>
                              <w:szCs w:val="26"/>
                            </w:rPr>
                            <w:instrText xml:space="preserve">PAGE  </w:instrText>
                          </w:r>
                          <w:r>
                            <w:rPr>
                              <w:rFonts w:ascii="宋体" w:hAnsi="宋体" w:eastAsia="宋体"/>
                              <w:sz w:val="26"/>
                              <w:szCs w:val="26"/>
                            </w:rPr>
                            <w:fldChar w:fldCharType="separate"/>
                          </w:r>
                          <w:r>
                            <w:rPr>
                              <w:rStyle w:val="10"/>
                              <w:rFonts w:ascii="宋体" w:hAnsi="宋体" w:eastAsia="宋体"/>
                              <w:sz w:val="26"/>
                              <w:szCs w:val="26"/>
                            </w:rPr>
                            <w:t>38</w:t>
                          </w:r>
                          <w:r>
                            <w:rPr>
                              <w:rFonts w:ascii="宋体" w:hAnsi="宋体" w:eastAsia="宋体"/>
                              <w:sz w:val="26"/>
                              <w:szCs w:val="26"/>
                            </w:rPr>
                            <w:fldChar w:fldCharType="end"/>
                          </w:r>
                          <w:r>
                            <w:rPr>
                              <w:rStyle w:val="10"/>
                              <w:rFonts w:hint="eastAsia" w:ascii="宋体" w:hAnsi="宋体" w:eastAsia="宋体"/>
                              <w:sz w:val="20"/>
                              <w:szCs w:val="20"/>
                            </w:rPr>
                            <w:t xml:space="preserve">  </w:t>
                          </w:r>
                          <w:r>
                            <w:rPr>
                              <w:rStyle w:val="10"/>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7"/>
                      <w:spacing w:after="0" w:afterLines="0"/>
                      <w:rPr>
                        <w:rStyle w:val="10"/>
                        <w:rFonts w:hint="eastAsia" w:ascii="宋体" w:hAnsi="宋体" w:eastAsia="宋体"/>
                        <w:sz w:val="28"/>
                        <w:szCs w:val="28"/>
                      </w:rPr>
                    </w:pPr>
                    <w:r>
                      <w:rPr>
                        <w:rStyle w:val="10"/>
                        <w:rFonts w:hint="eastAsia" w:ascii="宋体" w:hAnsi="宋体" w:eastAsia="宋体"/>
                        <w:sz w:val="28"/>
                        <w:szCs w:val="28"/>
                      </w:rPr>
                      <w:t>—</w:t>
                    </w:r>
                    <w:r>
                      <w:rPr>
                        <w:rStyle w:val="10"/>
                        <w:rFonts w:hint="eastAsia" w:ascii="宋体" w:hAnsi="宋体" w:eastAsia="宋体"/>
                        <w:sz w:val="20"/>
                        <w:szCs w:val="20"/>
                      </w:rPr>
                      <w:t xml:space="preserve">  </w:t>
                    </w:r>
                    <w:r>
                      <w:rPr>
                        <w:rFonts w:ascii="宋体" w:hAnsi="宋体" w:eastAsia="宋体"/>
                        <w:sz w:val="26"/>
                        <w:szCs w:val="26"/>
                      </w:rPr>
                      <w:fldChar w:fldCharType="begin"/>
                    </w:r>
                    <w:r>
                      <w:rPr>
                        <w:rStyle w:val="10"/>
                        <w:rFonts w:ascii="宋体" w:hAnsi="宋体" w:eastAsia="宋体"/>
                        <w:sz w:val="26"/>
                        <w:szCs w:val="26"/>
                      </w:rPr>
                      <w:instrText xml:space="preserve">PAGE  </w:instrText>
                    </w:r>
                    <w:r>
                      <w:rPr>
                        <w:rFonts w:ascii="宋体" w:hAnsi="宋体" w:eastAsia="宋体"/>
                        <w:sz w:val="26"/>
                        <w:szCs w:val="26"/>
                      </w:rPr>
                      <w:fldChar w:fldCharType="separate"/>
                    </w:r>
                    <w:r>
                      <w:rPr>
                        <w:rStyle w:val="10"/>
                        <w:rFonts w:ascii="宋体" w:hAnsi="宋体" w:eastAsia="宋体"/>
                        <w:sz w:val="26"/>
                        <w:szCs w:val="26"/>
                      </w:rPr>
                      <w:t>38</w:t>
                    </w:r>
                    <w:r>
                      <w:rPr>
                        <w:rFonts w:ascii="宋体" w:hAnsi="宋体" w:eastAsia="宋体"/>
                        <w:sz w:val="26"/>
                        <w:szCs w:val="26"/>
                      </w:rPr>
                      <w:fldChar w:fldCharType="end"/>
                    </w:r>
                    <w:r>
                      <w:rPr>
                        <w:rStyle w:val="10"/>
                        <w:rFonts w:hint="eastAsia" w:ascii="宋体" w:hAnsi="宋体" w:eastAsia="宋体"/>
                        <w:sz w:val="20"/>
                        <w:szCs w:val="20"/>
                      </w:rPr>
                      <w:t xml:space="preserve">  </w:t>
                    </w:r>
                    <w:r>
                      <w:rPr>
                        <w:rStyle w:val="10"/>
                        <w:rFonts w:hint="eastAsia" w:ascii="宋体" w:hAnsi="宋体" w:eastAsia="宋体"/>
                        <w:sz w:val="28"/>
                        <w:szCs w:val="28"/>
                      </w:rPr>
                      <w:t>—</w:t>
                    </w:r>
                  </w:p>
                </w:txbxContent>
              </v:textbox>
            </v:shape>
          </w:pict>
        </mc:Fallback>
      </mc:AlternateContent>
    </w:r>
    <w:r>
      <w:rPr>
        <w:rFonts w:hint="eastAsia"/>
        <w:lang w:eastAsia="zh-CN"/>
      </w:rPr>
      <w:t>台州三飞检测科技有限公司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u w:val="none"/>
      </w:rPr>
    </w:pPr>
    <w:r>
      <w:rPr>
        <w:rFonts w:hint="eastAsia"/>
        <w:u w:val="none"/>
        <w:lang w:val="en-US" w:eastAsia="zh-CN"/>
      </w:rPr>
      <w:t>三门县海威电气有限公司年产5000套高压负荷开关项目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u w:val="none"/>
      </w:rPr>
    </w:pPr>
    <w:r>
      <w:rPr>
        <w:rFonts w:hint="eastAsia"/>
        <w:u w:val="none"/>
        <w:lang w:val="en-US" w:eastAsia="zh-CN"/>
      </w:rPr>
      <w:t>三门县海威电气有限公司年产5000套高压负荷开关项目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84281"/>
    <w:multiLevelType w:val="singleLevel"/>
    <w:tmpl w:val="24A84281"/>
    <w:lvl w:ilvl="0" w:tentative="0">
      <w:start w:val="1"/>
      <w:numFmt w:val="chineseCounting"/>
      <w:suff w:val="nothing"/>
      <w:lvlText w:val="%1、"/>
      <w:lvlJc w:val="left"/>
      <w:rPr>
        <w:rFonts w:hint="eastAsia"/>
      </w:rPr>
    </w:lvl>
  </w:abstractNum>
  <w:abstractNum w:abstractNumId="1">
    <w:nsid w:val="568D5AF1"/>
    <w:multiLevelType w:val="singleLevel"/>
    <w:tmpl w:val="568D5AF1"/>
    <w:lvl w:ilvl="0" w:tentative="0">
      <w:start w:val="2"/>
      <w:numFmt w:val="chineseCounting"/>
      <w:suff w:val="nothing"/>
      <w:lvlText w:val="%1、"/>
      <w:lvlJc w:val="left"/>
      <w:rPr>
        <w:rFonts w:hint="eastAsia"/>
      </w:rPr>
    </w:lvl>
  </w:abstractNum>
  <w:abstractNum w:abstractNumId="2">
    <w:nsid w:val="5698673B"/>
    <w:multiLevelType w:val="singleLevel"/>
    <w:tmpl w:val="5698673B"/>
    <w:lvl w:ilvl="0" w:tentative="0">
      <w:start w:val="3"/>
      <w:numFmt w:val="chineseCounting"/>
      <w:suff w:val="nothing"/>
      <w:lvlText w:val="%1、"/>
      <w:lvlJc w:val="left"/>
      <w:rPr>
        <w:rFonts w:hint="eastAsia"/>
      </w:rPr>
    </w:lvl>
  </w:abstractNum>
  <w:abstractNum w:abstractNumId="3">
    <w:nsid w:val="7747C34C"/>
    <w:multiLevelType w:val="singleLevel"/>
    <w:tmpl w:val="7747C34C"/>
    <w:lvl w:ilvl="0" w:tentative="0">
      <w:start w:val="3"/>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46EA7"/>
    <w:rsid w:val="03ED186E"/>
    <w:rsid w:val="06D32101"/>
    <w:rsid w:val="112B43F2"/>
    <w:rsid w:val="1A347485"/>
    <w:rsid w:val="1AA456DF"/>
    <w:rsid w:val="22CA0D62"/>
    <w:rsid w:val="25946EA7"/>
    <w:rsid w:val="2DE7566C"/>
    <w:rsid w:val="318F4BB0"/>
    <w:rsid w:val="387C7F1E"/>
    <w:rsid w:val="3CB83F71"/>
    <w:rsid w:val="49083947"/>
    <w:rsid w:val="49486B85"/>
    <w:rsid w:val="54283641"/>
    <w:rsid w:val="614E4E30"/>
    <w:rsid w:val="62CE7F96"/>
    <w:rsid w:val="650C0A33"/>
    <w:rsid w:val="6AF82B6D"/>
    <w:rsid w:val="6D535020"/>
    <w:rsid w:val="752F21C3"/>
    <w:rsid w:val="777F1D61"/>
    <w:rsid w:val="7DAB4E52"/>
    <w:rsid w:val="7FD9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100" w:beforeLines="0" w:beforeAutospacing="0" w:after="90" w:afterLines="0" w:afterAutospacing="0" w:line="240" w:lineRule="auto"/>
      <w:outlineLvl w:val="0"/>
    </w:pPr>
    <w:rPr>
      <w:rFonts w:eastAsia="宋体"/>
      <w:b/>
      <w:kern w:val="44"/>
      <w:sz w:val="32"/>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
    <w:name w:val="Normal Indent"/>
    <w:basedOn w:val="1"/>
    <w:qFormat/>
    <w:uiPriority w:val="0"/>
    <w:pPr>
      <w:ind w:firstLine="420"/>
    </w:pPr>
    <w:rPr>
      <w:rFonts w:eastAsia="宋体"/>
      <w:kern w:val="2"/>
      <w:sz w:val="21"/>
      <w:lang w:val="en-US" w:eastAsia="zh-CN" w:bidi="ar-SA"/>
    </w:rPr>
  </w:style>
  <w:style w:type="paragraph" w:styleId="5">
    <w:name w:val="annotation text"/>
    <w:basedOn w:val="1"/>
    <w:qFormat/>
    <w:uiPriority w:val="0"/>
    <w:pPr>
      <w:jc w:val="left"/>
    </w:pPr>
  </w:style>
  <w:style w:type="paragraph" w:styleId="6">
    <w:name w:val="Body Text"/>
    <w:basedOn w:val="1"/>
    <w:qFormat/>
    <w:uiPriority w:val="0"/>
    <w:pPr>
      <w:spacing w:line="320" w:lineRule="exact"/>
      <w:jc w:val="center"/>
    </w:pPr>
    <w:rPr>
      <w:kern w:val="0"/>
      <w:sz w:val="20"/>
    </w:rPr>
  </w:style>
  <w:style w:type="paragraph" w:styleId="7">
    <w:name w:val="footer"/>
    <w:basedOn w:val="1"/>
    <w:qFormat/>
    <w:uiPriority w:val="0"/>
    <w:pPr>
      <w:tabs>
        <w:tab w:val="center" w:pos="4153"/>
        <w:tab w:val="right" w:pos="8306"/>
      </w:tabs>
    </w:pPr>
    <w:rPr>
      <w:rFonts w:ascii="Tahoma" w:hAnsi="Tahoma"/>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page number"/>
    <w:basedOn w:val="9"/>
    <w:qFormat/>
    <w:uiPriority w:val="0"/>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4">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15">
    <w:name w:val="page number"/>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tiff"/><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7</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2018-09-01T01:32:00Z</dcterms:created>
  <dc:creator>Administrator</dc:creator>
  <cp:lastModifiedBy>Boom sha ka la ka</cp:lastModifiedBy>
  <cp:lastPrinted>2018-09-20T12:40:00Z</cp:lastPrinted>
  <dcterms:modified xsi:type="dcterms:W3CDTF">2018-09-21T08:41:51Z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